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3FE3D494" w14:textId="77777777" w:rsidTr="005D4246">
        <w:trPr>
          <w:cantSplit/>
          <w:trHeight w:val="397"/>
          <w:tblCellSpacing w:w="20" w:type="dxa"/>
        </w:trPr>
        <w:tc>
          <w:tcPr>
            <w:tcW w:w="2087" w:type="dxa"/>
            <w:vAlign w:val="center"/>
          </w:tcPr>
          <w:p w14:paraId="1C37544E" w14:textId="77777777" w:rsidR="00D4711D" w:rsidRPr="00A06266" w:rsidRDefault="00D4711D" w:rsidP="001F7858">
            <w:pPr>
              <w:rPr>
                <w:szCs w:val="24"/>
              </w:rPr>
            </w:pPr>
            <w:r w:rsidRPr="00A06266">
              <w:rPr>
                <w:b/>
                <w:szCs w:val="24"/>
              </w:rPr>
              <w:t>Post title:</w:t>
            </w:r>
          </w:p>
        </w:tc>
        <w:tc>
          <w:tcPr>
            <w:tcW w:w="8274" w:type="dxa"/>
            <w:vAlign w:val="center"/>
          </w:tcPr>
          <w:p w14:paraId="11A9F334" w14:textId="6B2FA1CA" w:rsidR="00D4711D" w:rsidRPr="00A06266" w:rsidRDefault="00AA67E3" w:rsidP="001F7858">
            <w:r w:rsidRPr="00C71E82">
              <w:t>Approved Mental Health Professional (</w:t>
            </w:r>
            <w:r>
              <w:t xml:space="preserve">Hybrid </w:t>
            </w:r>
            <w:r w:rsidRPr="00C71E82">
              <w:t>AMHP) – Mental Health</w:t>
            </w:r>
          </w:p>
        </w:tc>
      </w:tr>
      <w:tr w:rsidR="00D4711D" w:rsidRPr="00A06266" w14:paraId="39CF1F99" w14:textId="77777777" w:rsidTr="005D4246">
        <w:trPr>
          <w:cantSplit/>
          <w:trHeight w:val="397"/>
          <w:tblCellSpacing w:w="20" w:type="dxa"/>
        </w:trPr>
        <w:tc>
          <w:tcPr>
            <w:tcW w:w="2087" w:type="dxa"/>
            <w:vAlign w:val="center"/>
          </w:tcPr>
          <w:p w14:paraId="225EFE92" w14:textId="77777777" w:rsidR="00D4711D" w:rsidRPr="00A06266" w:rsidRDefault="00D4711D" w:rsidP="001F7858">
            <w:pPr>
              <w:rPr>
                <w:szCs w:val="24"/>
              </w:rPr>
            </w:pPr>
            <w:r w:rsidRPr="00A06266">
              <w:rPr>
                <w:b/>
                <w:szCs w:val="24"/>
              </w:rPr>
              <w:t>Grade:</w:t>
            </w:r>
          </w:p>
        </w:tc>
        <w:tc>
          <w:tcPr>
            <w:tcW w:w="8274" w:type="dxa"/>
            <w:vAlign w:val="center"/>
          </w:tcPr>
          <w:p w14:paraId="3158E17C" w14:textId="5F7D6B13" w:rsidR="00D4711D" w:rsidRPr="00A06266" w:rsidRDefault="006772AA" w:rsidP="001F7858">
            <w:r>
              <w:t>L</w:t>
            </w:r>
          </w:p>
        </w:tc>
      </w:tr>
      <w:tr w:rsidR="00D4711D" w:rsidRPr="00A06266" w14:paraId="04B80DC9" w14:textId="77777777" w:rsidTr="005D4246">
        <w:trPr>
          <w:cantSplit/>
          <w:trHeight w:val="397"/>
          <w:tblCellSpacing w:w="20" w:type="dxa"/>
        </w:trPr>
        <w:tc>
          <w:tcPr>
            <w:tcW w:w="2087" w:type="dxa"/>
            <w:vAlign w:val="center"/>
          </w:tcPr>
          <w:p w14:paraId="59FC0A58" w14:textId="77777777" w:rsidR="00D4711D" w:rsidRPr="00A06266" w:rsidRDefault="00D4711D" w:rsidP="001F7858">
            <w:pPr>
              <w:rPr>
                <w:b/>
                <w:szCs w:val="24"/>
              </w:rPr>
            </w:pPr>
            <w:r w:rsidRPr="00A06266">
              <w:rPr>
                <w:b/>
                <w:szCs w:val="24"/>
              </w:rPr>
              <w:t>Responsible to:</w:t>
            </w:r>
          </w:p>
        </w:tc>
        <w:tc>
          <w:tcPr>
            <w:tcW w:w="8274" w:type="dxa"/>
            <w:vAlign w:val="center"/>
          </w:tcPr>
          <w:p w14:paraId="3525C309" w14:textId="6B4267C7" w:rsidR="0070480A" w:rsidRPr="00A06266" w:rsidRDefault="00AA67E3" w:rsidP="001F7858">
            <w:r w:rsidRPr="00C71E82">
              <w:t>Team Manager – Mental Health</w:t>
            </w:r>
          </w:p>
        </w:tc>
      </w:tr>
      <w:tr w:rsidR="0070480A" w:rsidRPr="00A06266" w14:paraId="7C5AA814" w14:textId="77777777" w:rsidTr="005D4246">
        <w:trPr>
          <w:cantSplit/>
          <w:trHeight w:val="397"/>
          <w:tblCellSpacing w:w="20" w:type="dxa"/>
        </w:trPr>
        <w:tc>
          <w:tcPr>
            <w:tcW w:w="2087" w:type="dxa"/>
            <w:vAlign w:val="center"/>
          </w:tcPr>
          <w:p w14:paraId="23F57F82" w14:textId="77777777" w:rsidR="0070480A" w:rsidRPr="00A06266" w:rsidRDefault="0070480A" w:rsidP="0070480A">
            <w:pPr>
              <w:rPr>
                <w:b/>
                <w:szCs w:val="24"/>
              </w:rPr>
            </w:pPr>
            <w:r w:rsidRPr="00A06266">
              <w:rPr>
                <w:b/>
                <w:szCs w:val="24"/>
              </w:rPr>
              <w:t>Staff managed:</w:t>
            </w:r>
          </w:p>
        </w:tc>
        <w:tc>
          <w:tcPr>
            <w:tcW w:w="8274" w:type="dxa"/>
            <w:vAlign w:val="center"/>
          </w:tcPr>
          <w:p w14:paraId="1C296D81" w14:textId="77CB4846" w:rsidR="0070480A" w:rsidRPr="00A06266" w:rsidRDefault="006772AA"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A67E3">
                  <w:rPr>
                    <w:rFonts w:eastAsia="Times New Roman"/>
                    <w:lang w:eastAsia="en-GB"/>
                  </w:rPr>
                  <w:t>None</w:t>
                </w:r>
              </w:sdtContent>
            </w:sdt>
          </w:p>
        </w:tc>
      </w:tr>
      <w:tr w:rsidR="0070480A" w:rsidRPr="00A06266" w14:paraId="49878C8C" w14:textId="77777777" w:rsidTr="005D4246">
        <w:trPr>
          <w:cantSplit/>
          <w:trHeight w:val="397"/>
          <w:tblCellSpacing w:w="20" w:type="dxa"/>
        </w:trPr>
        <w:tc>
          <w:tcPr>
            <w:tcW w:w="2087" w:type="dxa"/>
            <w:vAlign w:val="center"/>
          </w:tcPr>
          <w:p w14:paraId="3CEF0CA3" w14:textId="77777777" w:rsidR="0070480A" w:rsidRDefault="0070480A" w:rsidP="001F7858">
            <w:pPr>
              <w:rPr>
                <w:b/>
                <w:szCs w:val="24"/>
              </w:rPr>
            </w:pPr>
            <w:r>
              <w:rPr>
                <w:b/>
                <w:szCs w:val="24"/>
              </w:rPr>
              <w:t>Directorate:</w:t>
            </w:r>
          </w:p>
        </w:tc>
        <w:tc>
          <w:tcPr>
            <w:tcW w:w="8274" w:type="dxa"/>
            <w:vAlign w:val="center"/>
          </w:tcPr>
          <w:p w14:paraId="39C4AF58" w14:textId="46E59B50" w:rsidR="0070480A" w:rsidRPr="00A06266" w:rsidRDefault="00AA67E3" w:rsidP="001F7858">
            <w:r>
              <w:t>Health &amp; Adult Services</w:t>
            </w:r>
          </w:p>
        </w:tc>
      </w:tr>
      <w:tr w:rsidR="0070480A" w:rsidRPr="00A06266" w14:paraId="5F4207A4" w14:textId="77777777" w:rsidTr="005D4246">
        <w:trPr>
          <w:cantSplit/>
          <w:trHeight w:val="397"/>
          <w:tblCellSpacing w:w="20" w:type="dxa"/>
        </w:trPr>
        <w:tc>
          <w:tcPr>
            <w:tcW w:w="2087" w:type="dxa"/>
            <w:vAlign w:val="center"/>
          </w:tcPr>
          <w:p w14:paraId="7027BEEF" w14:textId="77777777" w:rsidR="0070480A" w:rsidRDefault="0070480A" w:rsidP="001F7858">
            <w:pPr>
              <w:rPr>
                <w:b/>
                <w:szCs w:val="24"/>
              </w:rPr>
            </w:pPr>
            <w:r>
              <w:rPr>
                <w:b/>
                <w:szCs w:val="24"/>
              </w:rPr>
              <w:t>Service:</w:t>
            </w:r>
          </w:p>
        </w:tc>
        <w:tc>
          <w:tcPr>
            <w:tcW w:w="8274" w:type="dxa"/>
            <w:vAlign w:val="center"/>
          </w:tcPr>
          <w:p w14:paraId="3FD4BC21" w14:textId="4B38B8A2" w:rsidR="0070480A" w:rsidRPr="00A06266" w:rsidRDefault="00AA67E3" w:rsidP="001F7858">
            <w:r>
              <w:t>Mental Health</w:t>
            </w:r>
          </w:p>
        </w:tc>
      </w:tr>
      <w:tr w:rsidR="00FF6D2A" w:rsidRPr="00A06266" w14:paraId="206DA6F3" w14:textId="77777777" w:rsidTr="005D4246">
        <w:trPr>
          <w:cantSplit/>
          <w:trHeight w:val="397"/>
          <w:tblCellSpacing w:w="20" w:type="dxa"/>
        </w:trPr>
        <w:tc>
          <w:tcPr>
            <w:tcW w:w="2087" w:type="dxa"/>
            <w:vAlign w:val="center"/>
          </w:tcPr>
          <w:p w14:paraId="032C0DA0"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C136DF1" w14:textId="48D4170C" w:rsidR="00FF6D2A" w:rsidRPr="00A06266" w:rsidRDefault="00AA67E3" w:rsidP="00FF6D2A">
                <w:r>
                  <w:rPr>
                    <w:rFonts w:eastAsia="Times New Roman"/>
                    <w:b/>
                    <w:lang w:eastAsia="en-GB"/>
                  </w:rPr>
                  <w:t>C&amp;S - Care &amp; Support</w:t>
                </w:r>
              </w:p>
            </w:tc>
          </w:sdtContent>
        </w:sdt>
      </w:tr>
      <w:tr w:rsidR="00FF6D2A" w:rsidRPr="00A06266" w14:paraId="62B67705" w14:textId="77777777" w:rsidTr="005D4246">
        <w:trPr>
          <w:cantSplit/>
          <w:trHeight w:val="397"/>
          <w:tblCellSpacing w:w="20" w:type="dxa"/>
        </w:trPr>
        <w:tc>
          <w:tcPr>
            <w:tcW w:w="2087" w:type="dxa"/>
            <w:vAlign w:val="center"/>
          </w:tcPr>
          <w:p w14:paraId="29AA6E14" w14:textId="77777777" w:rsidR="00FF6D2A" w:rsidRDefault="00FF6D2A" w:rsidP="00FF6D2A">
            <w:pPr>
              <w:rPr>
                <w:b/>
                <w:szCs w:val="24"/>
              </w:rPr>
            </w:pPr>
            <w:r>
              <w:rPr>
                <w:b/>
                <w:szCs w:val="24"/>
              </w:rPr>
              <w:t>Date of issue:</w:t>
            </w:r>
          </w:p>
        </w:tc>
        <w:tc>
          <w:tcPr>
            <w:tcW w:w="8274" w:type="dxa"/>
            <w:vAlign w:val="center"/>
          </w:tcPr>
          <w:p w14:paraId="0A4DB8C8" w14:textId="38451CF2" w:rsidR="00FF6D2A" w:rsidRPr="00A06266" w:rsidRDefault="006772AA" w:rsidP="00FF6D2A">
            <w:r>
              <w:t>October 2023</w:t>
            </w:r>
          </w:p>
        </w:tc>
      </w:tr>
    </w:tbl>
    <w:p w14:paraId="0D00D4A9"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19D38CC8"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3EB02B3" w14:textId="77777777" w:rsidR="00911A08" w:rsidRPr="00A06266" w:rsidRDefault="00911A08" w:rsidP="00D35C2A">
            <w:pPr>
              <w:rPr>
                <w:rFonts w:cs="Arial"/>
                <w:sz w:val="24"/>
                <w:szCs w:val="24"/>
              </w:rPr>
            </w:pPr>
            <w:r w:rsidRPr="00A06266">
              <w:rPr>
                <w:rFonts w:cs="Arial"/>
                <w:sz w:val="24"/>
                <w:szCs w:val="24"/>
              </w:rPr>
              <w:t>Job context</w:t>
            </w:r>
          </w:p>
        </w:tc>
      </w:tr>
      <w:tr w:rsidR="00AA67E3" w:rsidRPr="00911A08" w14:paraId="33C4F942"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38EF2F8"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t xml:space="preserve">NYC works jointly with NHS Mental Health Foundation Trusts to deliver Community Mental Health Services to working age adults. The services we provide are delivered through Community Mental Health Teams and other clinical teams. These include statutory Mental Health Act assessments by Approved Mental Health Professionals, statutory Care Act assessments and care planning, recovery support, carer’s </w:t>
            </w:r>
            <w:proofErr w:type="gramStart"/>
            <w:r w:rsidRPr="006772AA">
              <w:rPr>
                <w:rFonts w:ascii="Arial" w:hAnsi="Arial" w:cs="Arial"/>
                <w:b w:val="0"/>
                <w:bCs w:val="0"/>
                <w:sz w:val="20"/>
                <w:szCs w:val="20"/>
              </w:rPr>
              <w:t>assessments</w:t>
            </w:r>
            <w:proofErr w:type="gramEnd"/>
            <w:r w:rsidRPr="006772AA">
              <w:rPr>
                <w:rFonts w:ascii="Arial" w:hAnsi="Arial" w:cs="Arial"/>
                <w:b w:val="0"/>
                <w:bCs w:val="0"/>
                <w:sz w:val="20"/>
                <w:szCs w:val="20"/>
              </w:rPr>
              <w:t xml:space="preserve"> and assistance with employment.  </w:t>
            </w:r>
          </w:p>
          <w:p w14:paraId="40879887"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t xml:space="preserve">The service operates a 7-day service. Postholders will work across a daytime and an out of hours rota, which includes weekend working and bank holidays. </w:t>
            </w:r>
          </w:p>
          <w:p w14:paraId="0A8C064A"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t>There will be an expectation of flexible working to meet the needs of the service.</w:t>
            </w:r>
          </w:p>
          <w:p w14:paraId="1D281273"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t>The post holder will operate within the day and out of hours services which sits under the management of the locality (</w:t>
            </w:r>
            <w:proofErr w:type="gramStart"/>
            <w:r w:rsidRPr="006772AA">
              <w:rPr>
                <w:rFonts w:ascii="Arial" w:hAnsi="Arial" w:cs="Arial"/>
                <w:b w:val="0"/>
                <w:bCs w:val="0"/>
                <w:sz w:val="20"/>
                <w:szCs w:val="20"/>
              </w:rPr>
              <w:t>day time</w:t>
            </w:r>
            <w:proofErr w:type="gramEnd"/>
            <w:r w:rsidRPr="006772AA">
              <w:rPr>
                <w:rFonts w:ascii="Arial" w:hAnsi="Arial" w:cs="Arial"/>
                <w:b w:val="0"/>
                <w:bCs w:val="0"/>
                <w:sz w:val="20"/>
                <w:szCs w:val="20"/>
              </w:rPr>
              <w:t>) Team Managers. However, given the nature of the role and the shift pattern some of the work will align with the duties of the EDT service. As such the EDT Team Leader will provide management input as appropriate.</w:t>
            </w:r>
          </w:p>
          <w:p w14:paraId="50C88669" w14:textId="77777777" w:rsidR="00AA67E3" w:rsidRPr="006772AA" w:rsidRDefault="00AA67E3" w:rsidP="006772AA">
            <w:pPr>
              <w:pStyle w:val="ListParagraph"/>
              <w:numPr>
                <w:ilvl w:val="0"/>
                <w:numId w:val="27"/>
              </w:numPr>
              <w:spacing w:after="0" w:line="240" w:lineRule="auto"/>
              <w:rPr>
                <w:rFonts w:ascii="Arial" w:hAnsi="Arial" w:cs="Arial"/>
                <w:b w:val="0"/>
                <w:bCs w:val="0"/>
                <w:sz w:val="20"/>
                <w:szCs w:val="20"/>
              </w:rPr>
            </w:pPr>
            <w:r w:rsidRPr="006772AA">
              <w:rPr>
                <w:rFonts w:ascii="Arial" w:hAnsi="Arial" w:cs="Arial"/>
                <w:b w:val="0"/>
                <w:bCs w:val="0"/>
                <w:sz w:val="20"/>
                <w:szCs w:val="20"/>
              </w:rPr>
              <w:t xml:space="preserve">EDT provides a service for North Yorkshire Council CYPS and HAS Care and Support, and City of York Council. The principal responsibility of EDT is to respond to out of hours referrals where intervention from the local authority is required to safeguard a vulnerable child or adult, and where it would not be safe, </w:t>
            </w:r>
            <w:proofErr w:type="gramStart"/>
            <w:r w:rsidRPr="006772AA">
              <w:rPr>
                <w:rFonts w:ascii="Arial" w:hAnsi="Arial" w:cs="Arial"/>
                <w:b w:val="0"/>
                <w:bCs w:val="0"/>
                <w:sz w:val="20"/>
                <w:szCs w:val="20"/>
              </w:rPr>
              <w:t>appropriate</w:t>
            </w:r>
            <w:proofErr w:type="gramEnd"/>
            <w:r w:rsidRPr="006772AA">
              <w:rPr>
                <w:rFonts w:ascii="Arial" w:hAnsi="Arial" w:cs="Arial"/>
                <w:b w:val="0"/>
                <w:bCs w:val="0"/>
                <w:sz w:val="20"/>
                <w:szCs w:val="20"/>
              </w:rPr>
              <w:t xml:space="preserve"> or lawful to delay that intervention to the next working day.</w:t>
            </w:r>
          </w:p>
          <w:p w14:paraId="2611C0B6" w14:textId="77777777" w:rsidR="00AA67E3" w:rsidRPr="006772AA" w:rsidRDefault="00AA67E3" w:rsidP="006772AA">
            <w:pPr>
              <w:pStyle w:val="ListParagraph"/>
              <w:numPr>
                <w:ilvl w:val="0"/>
                <w:numId w:val="27"/>
              </w:numPr>
              <w:spacing w:after="0" w:line="240" w:lineRule="auto"/>
              <w:rPr>
                <w:rFonts w:ascii="Arial" w:hAnsi="Arial" w:cs="Arial"/>
                <w:b w:val="0"/>
                <w:bCs w:val="0"/>
                <w:sz w:val="20"/>
                <w:szCs w:val="20"/>
              </w:rPr>
            </w:pPr>
            <w:r w:rsidRPr="006772AA">
              <w:rPr>
                <w:rFonts w:ascii="Arial" w:hAnsi="Arial" w:cs="Arial"/>
                <w:b w:val="0"/>
                <w:bCs w:val="0"/>
                <w:sz w:val="20"/>
                <w:szCs w:val="20"/>
              </w:rPr>
              <w:t xml:space="preserve">The EDT may also deal with referrals, which are not assessed as emergencies but where delay before intervention by day staff could cause deterioration in the welfare or safety of the subject of the referral. The EDT is not intended to provide the same level of service that is available during normal office hours.  It does not have the resources to do so, either in terms of staff or access to information and support from partner agencies. </w:t>
            </w:r>
          </w:p>
          <w:p w14:paraId="28C45192" w14:textId="77777777" w:rsidR="00AA67E3" w:rsidRPr="006772AA" w:rsidRDefault="00AA67E3" w:rsidP="006772AA">
            <w:pPr>
              <w:pStyle w:val="ListParagraph"/>
              <w:numPr>
                <w:ilvl w:val="0"/>
                <w:numId w:val="27"/>
              </w:numPr>
              <w:spacing w:after="0" w:line="240" w:lineRule="auto"/>
              <w:rPr>
                <w:rFonts w:ascii="Arial" w:hAnsi="Arial" w:cs="Arial"/>
                <w:b w:val="0"/>
                <w:bCs w:val="0"/>
                <w:sz w:val="20"/>
                <w:szCs w:val="20"/>
              </w:rPr>
            </w:pPr>
            <w:r w:rsidRPr="006772AA">
              <w:rPr>
                <w:rFonts w:ascii="Arial" w:hAnsi="Arial" w:cs="Arial"/>
                <w:b w:val="0"/>
                <w:bCs w:val="0"/>
                <w:sz w:val="20"/>
                <w:szCs w:val="20"/>
              </w:rPr>
              <w:t>The EDT service support Children’s and Adult’s social care to provide services which follow from specific legislation, including but not limited to:</w:t>
            </w:r>
          </w:p>
          <w:p w14:paraId="0E7A1347" w14:textId="77777777" w:rsidR="00AA67E3" w:rsidRPr="006772AA" w:rsidRDefault="00AA67E3" w:rsidP="00AA67E3">
            <w:pPr>
              <w:pStyle w:val="ListParagraph"/>
              <w:numPr>
                <w:ilvl w:val="1"/>
                <w:numId w:val="13"/>
              </w:numPr>
              <w:spacing w:after="0" w:line="240" w:lineRule="auto"/>
              <w:jc w:val="both"/>
              <w:rPr>
                <w:rFonts w:ascii="Arial" w:hAnsi="Arial" w:cs="Arial"/>
                <w:b w:val="0"/>
                <w:bCs w:val="0"/>
                <w:sz w:val="20"/>
                <w:szCs w:val="20"/>
              </w:rPr>
            </w:pPr>
            <w:r w:rsidRPr="006772AA">
              <w:rPr>
                <w:rFonts w:ascii="Arial" w:hAnsi="Arial" w:cs="Arial"/>
                <w:b w:val="0"/>
                <w:bCs w:val="0"/>
                <w:sz w:val="20"/>
                <w:szCs w:val="20"/>
              </w:rPr>
              <w:t>The Care Act</w:t>
            </w:r>
          </w:p>
          <w:p w14:paraId="7C4237F9"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Children Act 1989</w:t>
            </w:r>
          </w:p>
          <w:p w14:paraId="136A399B"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The Children Act 2004</w:t>
            </w:r>
          </w:p>
          <w:p w14:paraId="6D30A362"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Working Together to Safeguard Children 2013</w:t>
            </w:r>
          </w:p>
          <w:p w14:paraId="7DF8C9A7"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DH Assessment Framework</w:t>
            </w:r>
          </w:p>
          <w:p w14:paraId="4C5D10F7"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Carers and Disabled Children Act 2004</w:t>
            </w:r>
          </w:p>
          <w:p w14:paraId="2960B2F7"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Mental Health Act 1983</w:t>
            </w:r>
          </w:p>
          <w:p w14:paraId="7DBE8265" w14:textId="77777777" w:rsidR="00AA67E3" w:rsidRPr="006772AA" w:rsidRDefault="00AA67E3" w:rsidP="00AA67E3">
            <w:pPr>
              <w:numPr>
                <w:ilvl w:val="1"/>
                <w:numId w:val="13"/>
              </w:numPr>
              <w:ind w:hanging="357"/>
              <w:contextualSpacing/>
              <w:rPr>
                <w:rFonts w:cs="Arial"/>
                <w:bCs w:val="0"/>
                <w:sz w:val="20"/>
                <w:szCs w:val="20"/>
              </w:rPr>
            </w:pPr>
            <w:r w:rsidRPr="006772AA">
              <w:rPr>
                <w:rFonts w:cs="Arial"/>
                <w:b w:val="0"/>
                <w:bCs w:val="0"/>
                <w:sz w:val="20"/>
                <w:szCs w:val="20"/>
              </w:rPr>
              <w:t>Mental Capacity Act 2005</w:t>
            </w:r>
          </w:p>
          <w:p w14:paraId="109D66A3" w14:textId="77777777" w:rsidR="00AA67E3" w:rsidRPr="000B4800" w:rsidRDefault="00AA67E3" w:rsidP="00AA67E3">
            <w:pPr>
              <w:numPr>
                <w:ilvl w:val="1"/>
                <w:numId w:val="13"/>
              </w:numPr>
              <w:ind w:hanging="357"/>
              <w:contextualSpacing/>
              <w:rPr>
                <w:rFonts w:cs="Arial"/>
                <w:bCs w:val="0"/>
                <w:sz w:val="20"/>
                <w:szCs w:val="20"/>
              </w:rPr>
            </w:pPr>
            <w:r w:rsidRPr="000B4800">
              <w:rPr>
                <w:rFonts w:cs="Arial"/>
                <w:b w:val="0"/>
                <w:bCs w:val="0"/>
                <w:sz w:val="20"/>
                <w:szCs w:val="20"/>
              </w:rPr>
              <w:t>Mental Health Act 2007</w:t>
            </w:r>
          </w:p>
          <w:p w14:paraId="01773E21" w14:textId="77777777" w:rsidR="00AA67E3" w:rsidRPr="000B4800" w:rsidRDefault="00AA67E3" w:rsidP="00AA67E3">
            <w:pPr>
              <w:numPr>
                <w:ilvl w:val="1"/>
                <w:numId w:val="13"/>
              </w:numPr>
              <w:ind w:hanging="357"/>
              <w:contextualSpacing/>
              <w:rPr>
                <w:rFonts w:cs="Arial"/>
                <w:bCs w:val="0"/>
                <w:sz w:val="20"/>
                <w:szCs w:val="20"/>
              </w:rPr>
            </w:pPr>
            <w:r w:rsidRPr="000B4800">
              <w:rPr>
                <w:rFonts w:cs="Arial"/>
                <w:b w:val="0"/>
                <w:bCs w:val="0"/>
                <w:sz w:val="20"/>
                <w:szCs w:val="20"/>
              </w:rPr>
              <w:t>As well as other Government guidance and policy.</w:t>
            </w:r>
          </w:p>
          <w:p w14:paraId="56973355" w14:textId="77777777" w:rsidR="00AA67E3" w:rsidRPr="006772AA" w:rsidRDefault="00AA67E3" w:rsidP="006772AA">
            <w:pPr>
              <w:pStyle w:val="ListParagraph"/>
              <w:numPr>
                <w:ilvl w:val="0"/>
                <w:numId w:val="27"/>
              </w:numPr>
              <w:spacing w:after="0" w:line="240" w:lineRule="auto"/>
              <w:rPr>
                <w:rFonts w:ascii="Arial" w:hAnsi="Arial" w:cs="Arial"/>
                <w:b w:val="0"/>
                <w:bCs w:val="0"/>
                <w:sz w:val="20"/>
                <w:szCs w:val="20"/>
              </w:rPr>
            </w:pPr>
            <w:r w:rsidRPr="006772AA">
              <w:rPr>
                <w:rFonts w:ascii="Arial" w:hAnsi="Arial" w:cs="Arial"/>
                <w:b w:val="0"/>
                <w:bCs w:val="0"/>
                <w:sz w:val="20"/>
                <w:szCs w:val="20"/>
              </w:rPr>
              <w:t xml:space="preserve">We are committed to providing good quality services to support children, adults, young </w:t>
            </w:r>
            <w:proofErr w:type="gramStart"/>
            <w:r w:rsidRPr="006772AA">
              <w:rPr>
                <w:rFonts w:ascii="Arial" w:hAnsi="Arial" w:cs="Arial"/>
                <w:b w:val="0"/>
                <w:bCs w:val="0"/>
                <w:sz w:val="20"/>
                <w:szCs w:val="20"/>
              </w:rPr>
              <w:t>people</w:t>
            </w:r>
            <w:proofErr w:type="gramEnd"/>
            <w:r w:rsidRPr="006772AA">
              <w:rPr>
                <w:rFonts w:ascii="Arial" w:hAnsi="Arial" w:cs="Arial"/>
                <w:b w:val="0"/>
                <w:bCs w:val="0"/>
                <w:sz w:val="20"/>
                <w:szCs w:val="20"/>
              </w:rPr>
              <w:t xml:space="preserve"> and their families.</w:t>
            </w:r>
          </w:p>
          <w:p w14:paraId="6947024A" w14:textId="77777777" w:rsidR="00AA67E3" w:rsidRPr="006772AA" w:rsidRDefault="00AA67E3" w:rsidP="006772AA">
            <w:pPr>
              <w:pStyle w:val="ListParagraph"/>
              <w:numPr>
                <w:ilvl w:val="0"/>
                <w:numId w:val="27"/>
              </w:numPr>
              <w:spacing w:after="0" w:line="240" w:lineRule="auto"/>
              <w:rPr>
                <w:rFonts w:ascii="Arial" w:hAnsi="Arial" w:cs="Arial"/>
                <w:b w:val="0"/>
                <w:bCs w:val="0"/>
                <w:sz w:val="20"/>
                <w:szCs w:val="20"/>
              </w:rPr>
            </w:pPr>
            <w:r w:rsidRPr="006772AA">
              <w:rPr>
                <w:rFonts w:ascii="Arial" w:hAnsi="Arial" w:cs="Arial"/>
                <w:b w:val="0"/>
                <w:bCs w:val="0"/>
                <w:sz w:val="20"/>
                <w:szCs w:val="20"/>
              </w:rPr>
              <w:t>Enhanced DBS check required.</w:t>
            </w:r>
          </w:p>
          <w:p w14:paraId="16A95655"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lastRenderedPageBreak/>
              <w:t>The post holder will operate in an environment of transformational change and innovation.</w:t>
            </w:r>
          </w:p>
          <w:p w14:paraId="3672C7D0"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t xml:space="preserve">This role involves spoken </w:t>
            </w:r>
            <w:proofErr w:type="gramStart"/>
            <w:r w:rsidRPr="006772AA">
              <w:rPr>
                <w:rFonts w:ascii="Arial" w:hAnsi="Arial" w:cs="Arial"/>
                <w:b w:val="0"/>
                <w:bCs w:val="0"/>
                <w:sz w:val="20"/>
                <w:szCs w:val="20"/>
              </w:rPr>
              <w:t>communications</w:t>
            </w:r>
            <w:proofErr w:type="gramEnd"/>
            <w:r w:rsidRPr="006772AA">
              <w:rPr>
                <w:rFonts w:ascii="Arial" w:hAnsi="Arial" w:cs="Arial"/>
                <w:b w:val="0"/>
                <w:bCs w:val="0"/>
                <w:sz w:val="20"/>
                <w:szCs w:val="20"/>
              </w:rPr>
              <w:t xml:space="preserve"> so a confident use of English language is required.</w:t>
            </w:r>
          </w:p>
          <w:p w14:paraId="78CA521F" w14:textId="77777777" w:rsidR="00AA67E3" w:rsidRPr="006772AA" w:rsidRDefault="00AA67E3" w:rsidP="006772AA">
            <w:pPr>
              <w:pStyle w:val="ListParagraph"/>
              <w:numPr>
                <w:ilvl w:val="0"/>
                <w:numId w:val="27"/>
              </w:numPr>
              <w:autoSpaceDE w:val="0"/>
              <w:autoSpaceDN w:val="0"/>
              <w:adjustRightInd w:val="0"/>
              <w:spacing w:after="0" w:line="240" w:lineRule="auto"/>
              <w:rPr>
                <w:rFonts w:ascii="Arial" w:hAnsi="Arial" w:cs="Arial"/>
                <w:b w:val="0"/>
                <w:bCs w:val="0"/>
                <w:sz w:val="20"/>
                <w:szCs w:val="20"/>
              </w:rPr>
            </w:pPr>
            <w:r w:rsidRPr="006772AA">
              <w:rPr>
                <w:rFonts w:ascii="Arial" w:hAnsi="Arial" w:cs="Arial"/>
                <w:b w:val="0"/>
                <w:bCs w:val="0"/>
                <w:sz w:val="20"/>
                <w:szCs w:val="20"/>
              </w:rPr>
              <w:t xml:space="preserve">The scientific and clinical evidence demonstrates that vaccines provide significant protection against severe disease, </w:t>
            </w:r>
            <w:proofErr w:type="gramStart"/>
            <w:r w:rsidRPr="006772AA">
              <w:rPr>
                <w:rFonts w:ascii="Arial" w:hAnsi="Arial" w:cs="Arial"/>
                <w:b w:val="0"/>
                <w:bCs w:val="0"/>
                <w:sz w:val="20"/>
                <w:szCs w:val="20"/>
              </w:rPr>
              <w:t>hospitalisation</w:t>
            </w:r>
            <w:proofErr w:type="gramEnd"/>
            <w:r w:rsidRPr="006772AA">
              <w:rPr>
                <w:rFonts w:ascii="Arial" w:hAnsi="Arial" w:cs="Arial"/>
                <w:b w:val="0"/>
                <w:bCs w:val="0"/>
                <w:sz w:val="20"/>
                <w:szCs w:val="20"/>
              </w:rPr>
              <w:t xml:space="preserve"> and death from COVID-19.  </w:t>
            </w:r>
            <w:hyperlink r:id="rId12" w:history="1">
              <w:r w:rsidRPr="006772AA">
                <w:rPr>
                  <w:rFonts w:ascii="Arial" w:hAnsi="Arial" w:cs="Arial"/>
                  <w:b w:val="0"/>
                  <w:bCs w:val="0"/>
                  <w:sz w:val="20"/>
                  <w:szCs w:val="20"/>
                </w:rPr>
                <w:t>Research also suggests that those who are vaccinated are less likely to develop long COVID</w:t>
              </w:r>
            </w:hyperlink>
            <w:r w:rsidRPr="006772AA">
              <w:rPr>
                <w:rFonts w:ascii="Arial" w:hAnsi="Arial" w:cs="Arial"/>
                <w:b w:val="0"/>
                <w:bCs w:val="0"/>
                <w:sz w:val="20"/>
                <w:szCs w:val="20"/>
              </w:rPr>
              <w:t>.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p w14:paraId="0E14170D" w14:textId="16230E25" w:rsidR="00AA67E3" w:rsidRPr="00911A08" w:rsidRDefault="00AA67E3" w:rsidP="00AA67E3">
            <w:pPr>
              <w:pStyle w:val="ListParagraph"/>
              <w:spacing w:after="0" w:line="240" w:lineRule="auto"/>
              <w:ind w:left="357"/>
              <w:rPr>
                <w:rFonts w:ascii="Arial" w:hAnsi="Arial" w:cs="Arial"/>
                <w:b w:val="0"/>
                <w:sz w:val="24"/>
                <w:szCs w:val="24"/>
              </w:rPr>
            </w:pPr>
          </w:p>
        </w:tc>
      </w:tr>
    </w:tbl>
    <w:p w14:paraId="269B20E9" w14:textId="77777777" w:rsidR="00911A08" w:rsidRDefault="00911A08"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70ECA138"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284A4C82" w14:textId="77777777" w:rsidR="00911A08" w:rsidRPr="00911A08" w:rsidRDefault="00911A08" w:rsidP="00911A08">
            <w:pPr>
              <w:rPr>
                <w:rFonts w:cs="Arial"/>
                <w:b w:val="0"/>
                <w:bCs w:val="0"/>
                <w:sz w:val="24"/>
                <w:szCs w:val="24"/>
              </w:rPr>
            </w:pPr>
            <w:r w:rsidRPr="00911A08">
              <w:rPr>
                <w:rFonts w:cs="Arial"/>
                <w:sz w:val="24"/>
                <w:szCs w:val="24"/>
              </w:rPr>
              <w:t>Job purpose</w:t>
            </w:r>
          </w:p>
        </w:tc>
        <w:tc>
          <w:tcPr>
            <w:tcW w:w="8222" w:type="dxa"/>
            <w:tcBorders>
              <w:bottom w:val="single" w:sz="8" w:space="0" w:color="538135" w:themeColor="accent6" w:themeShade="BF"/>
            </w:tcBorders>
            <w:shd w:val="clear" w:color="auto" w:fill="538135" w:themeFill="accent6" w:themeFillShade="BF"/>
            <w:vAlign w:val="center"/>
          </w:tcPr>
          <w:p w14:paraId="4565E41A" w14:textId="4E743C31" w:rsidR="00911A08" w:rsidRPr="00483DA8" w:rsidRDefault="00911A08" w:rsidP="00D35C2A">
            <w:pPr>
              <w:cnfStyle w:val="100000000000" w:firstRow="1" w:lastRow="0" w:firstColumn="0" w:lastColumn="0" w:oddVBand="0" w:evenVBand="0" w:oddHBand="0" w:evenHBand="0" w:firstRowFirstColumn="0" w:firstRowLastColumn="0" w:lastRowFirstColumn="0" w:lastRowLastColumn="0"/>
              <w:rPr>
                <w:rFonts w:cs="Arial"/>
              </w:rPr>
            </w:pPr>
          </w:p>
        </w:tc>
      </w:tr>
      <w:tr w:rsidR="00AA67E3" w:rsidRPr="0070480A" w14:paraId="147A69BE" w14:textId="77777777" w:rsidTr="006E17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1027CF4A" w14:textId="77777777" w:rsidR="00AA67E3" w:rsidRDefault="00AA67E3" w:rsidP="00AA67E3">
            <w:pPr>
              <w:rPr>
                <w:rFonts w:cs="Arial"/>
                <w:b w:val="0"/>
                <w:sz w:val="24"/>
                <w:szCs w:val="24"/>
              </w:rPr>
            </w:pPr>
            <w:r w:rsidRPr="00911A08">
              <w:rPr>
                <w:rFonts w:cs="Arial"/>
                <w:bCs w:val="0"/>
                <w:sz w:val="24"/>
                <w:szCs w:val="24"/>
              </w:rPr>
              <w:t>Operational Management:</w:t>
            </w:r>
          </w:p>
          <w:p w14:paraId="026FFA53" w14:textId="77777777" w:rsidR="006772AA" w:rsidRDefault="006772AA" w:rsidP="00AA67E3">
            <w:pPr>
              <w:rPr>
                <w:rFonts w:cs="Arial"/>
                <w:b w:val="0"/>
                <w:sz w:val="24"/>
                <w:szCs w:val="24"/>
              </w:rPr>
            </w:pPr>
          </w:p>
          <w:p w14:paraId="4BA23FE4" w14:textId="77777777" w:rsidR="006772AA" w:rsidRDefault="006772AA" w:rsidP="00AA67E3">
            <w:pPr>
              <w:rPr>
                <w:rFonts w:cs="Arial"/>
                <w:b w:val="0"/>
                <w:sz w:val="24"/>
                <w:szCs w:val="24"/>
              </w:rPr>
            </w:pPr>
          </w:p>
          <w:p w14:paraId="2511F641" w14:textId="77777777" w:rsidR="006772AA" w:rsidRDefault="006772AA" w:rsidP="00AA67E3">
            <w:pPr>
              <w:rPr>
                <w:rFonts w:cs="Arial"/>
                <w:b w:val="0"/>
                <w:sz w:val="24"/>
                <w:szCs w:val="24"/>
              </w:rPr>
            </w:pPr>
          </w:p>
          <w:p w14:paraId="3452B65E" w14:textId="77777777" w:rsidR="006772AA" w:rsidRDefault="006772AA" w:rsidP="00AA67E3">
            <w:pPr>
              <w:rPr>
                <w:rFonts w:cs="Arial"/>
                <w:b w:val="0"/>
                <w:sz w:val="24"/>
                <w:szCs w:val="24"/>
              </w:rPr>
            </w:pPr>
          </w:p>
          <w:p w14:paraId="5E9CE46E" w14:textId="77777777" w:rsidR="006772AA" w:rsidRDefault="006772AA" w:rsidP="00AA67E3">
            <w:pPr>
              <w:rPr>
                <w:rFonts w:cs="Arial"/>
                <w:b w:val="0"/>
                <w:sz w:val="24"/>
                <w:szCs w:val="24"/>
              </w:rPr>
            </w:pPr>
          </w:p>
          <w:p w14:paraId="0D2D3E85" w14:textId="77777777" w:rsidR="006772AA" w:rsidRDefault="006772AA" w:rsidP="00AA67E3">
            <w:pPr>
              <w:rPr>
                <w:rFonts w:cs="Arial"/>
                <w:b w:val="0"/>
                <w:sz w:val="24"/>
                <w:szCs w:val="24"/>
              </w:rPr>
            </w:pPr>
          </w:p>
          <w:p w14:paraId="52A700D8" w14:textId="77777777" w:rsidR="006772AA" w:rsidRDefault="006772AA" w:rsidP="00AA67E3">
            <w:pPr>
              <w:rPr>
                <w:rFonts w:cs="Arial"/>
                <w:b w:val="0"/>
                <w:sz w:val="24"/>
                <w:szCs w:val="24"/>
              </w:rPr>
            </w:pPr>
          </w:p>
          <w:p w14:paraId="61A1789C" w14:textId="77777777" w:rsidR="006772AA" w:rsidRDefault="006772AA" w:rsidP="00AA67E3">
            <w:pPr>
              <w:rPr>
                <w:rFonts w:cs="Arial"/>
                <w:b w:val="0"/>
                <w:sz w:val="24"/>
                <w:szCs w:val="24"/>
              </w:rPr>
            </w:pPr>
          </w:p>
          <w:p w14:paraId="4069990D" w14:textId="77777777" w:rsidR="006772AA" w:rsidRDefault="006772AA" w:rsidP="00AA67E3">
            <w:pPr>
              <w:rPr>
                <w:rFonts w:cs="Arial"/>
                <w:b w:val="0"/>
                <w:sz w:val="24"/>
                <w:szCs w:val="24"/>
              </w:rPr>
            </w:pPr>
          </w:p>
          <w:p w14:paraId="512468EF" w14:textId="77777777" w:rsidR="006772AA" w:rsidRDefault="006772AA" w:rsidP="00AA67E3">
            <w:pPr>
              <w:rPr>
                <w:rFonts w:cs="Arial"/>
                <w:b w:val="0"/>
                <w:sz w:val="24"/>
                <w:szCs w:val="24"/>
              </w:rPr>
            </w:pPr>
          </w:p>
          <w:p w14:paraId="63063A15" w14:textId="77777777" w:rsidR="006772AA" w:rsidRDefault="006772AA" w:rsidP="00AA67E3">
            <w:pPr>
              <w:rPr>
                <w:rFonts w:cs="Arial"/>
                <w:b w:val="0"/>
                <w:sz w:val="24"/>
                <w:szCs w:val="24"/>
              </w:rPr>
            </w:pPr>
          </w:p>
          <w:p w14:paraId="736EC15C" w14:textId="77777777" w:rsidR="006772AA" w:rsidRDefault="006772AA" w:rsidP="00AA67E3">
            <w:pPr>
              <w:rPr>
                <w:rFonts w:cs="Arial"/>
                <w:b w:val="0"/>
                <w:sz w:val="24"/>
                <w:szCs w:val="24"/>
              </w:rPr>
            </w:pPr>
          </w:p>
          <w:p w14:paraId="519037C6" w14:textId="77777777" w:rsidR="006772AA" w:rsidRDefault="006772AA" w:rsidP="00AA67E3">
            <w:pPr>
              <w:rPr>
                <w:rFonts w:cs="Arial"/>
                <w:b w:val="0"/>
                <w:sz w:val="24"/>
                <w:szCs w:val="24"/>
              </w:rPr>
            </w:pPr>
          </w:p>
          <w:p w14:paraId="577B3CDB" w14:textId="77777777" w:rsidR="006772AA" w:rsidRDefault="006772AA" w:rsidP="00AA67E3">
            <w:pPr>
              <w:rPr>
                <w:rFonts w:cs="Arial"/>
                <w:b w:val="0"/>
                <w:sz w:val="24"/>
                <w:szCs w:val="24"/>
              </w:rPr>
            </w:pPr>
          </w:p>
          <w:p w14:paraId="319090D0" w14:textId="77777777" w:rsidR="006772AA" w:rsidRDefault="006772AA" w:rsidP="00AA67E3">
            <w:pPr>
              <w:rPr>
                <w:rFonts w:cs="Arial"/>
                <w:b w:val="0"/>
                <w:sz w:val="24"/>
                <w:szCs w:val="24"/>
              </w:rPr>
            </w:pPr>
          </w:p>
          <w:p w14:paraId="171F284D" w14:textId="77777777" w:rsidR="006772AA" w:rsidRDefault="006772AA" w:rsidP="00AA67E3">
            <w:pPr>
              <w:rPr>
                <w:rFonts w:cs="Arial"/>
                <w:b w:val="0"/>
                <w:sz w:val="24"/>
                <w:szCs w:val="24"/>
              </w:rPr>
            </w:pPr>
          </w:p>
          <w:p w14:paraId="0CCD54E2" w14:textId="77777777" w:rsidR="006772AA" w:rsidRDefault="006772AA" w:rsidP="00AA67E3">
            <w:pPr>
              <w:rPr>
                <w:rFonts w:cs="Arial"/>
                <w:b w:val="0"/>
                <w:sz w:val="24"/>
                <w:szCs w:val="24"/>
              </w:rPr>
            </w:pPr>
          </w:p>
          <w:p w14:paraId="35081DDA" w14:textId="77777777" w:rsidR="006772AA" w:rsidRDefault="006772AA" w:rsidP="00AA67E3">
            <w:pPr>
              <w:rPr>
                <w:rFonts w:cs="Arial"/>
                <w:b w:val="0"/>
                <w:sz w:val="24"/>
                <w:szCs w:val="24"/>
              </w:rPr>
            </w:pPr>
          </w:p>
          <w:p w14:paraId="7F318B8B" w14:textId="77777777" w:rsidR="006772AA" w:rsidRDefault="006772AA" w:rsidP="00AA67E3">
            <w:pPr>
              <w:rPr>
                <w:rFonts w:cs="Arial"/>
                <w:b w:val="0"/>
                <w:sz w:val="24"/>
                <w:szCs w:val="24"/>
              </w:rPr>
            </w:pPr>
          </w:p>
          <w:p w14:paraId="2143D93A" w14:textId="77777777" w:rsidR="006772AA" w:rsidRDefault="006772AA" w:rsidP="00AA67E3">
            <w:pPr>
              <w:rPr>
                <w:rFonts w:cs="Arial"/>
                <w:b w:val="0"/>
                <w:sz w:val="24"/>
                <w:szCs w:val="24"/>
              </w:rPr>
            </w:pPr>
          </w:p>
          <w:p w14:paraId="3D308AE6" w14:textId="77777777" w:rsidR="006772AA" w:rsidRDefault="006772AA" w:rsidP="00AA67E3">
            <w:pPr>
              <w:rPr>
                <w:rFonts w:cs="Arial"/>
                <w:b w:val="0"/>
                <w:sz w:val="24"/>
                <w:szCs w:val="24"/>
              </w:rPr>
            </w:pPr>
          </w:p>
          <w:p w14:paraId="59678ED1" w14:textId="77777777" w:rsidR="006772AA" w:rsidRDefault="006772AA" w:rsidP="00AA67E3">
            <w:pPr>
              <w:rPr>
                <w:rFonts w:cs="Arial"/>
                <w:b w:val="0"/>
                <w:sz w:val="24"/>
                <w:szCs w:val="24"/>
              </w:rPr>
            </w:pPr>
          </w:p>
          <w:p w14:paraId="2400C83E" w14:textId="77777777" w:rsidR="006772AA" w:rsidRDefault="006772AA" w:rsidP="00AA67E3">
            <w:pPr>
              <w:rPr>
                <w:rFonts w:cs="Arial"/>
                <w:b w:val="0"/>
                <w:sz w:val="24"/>
                <w:szCs w:val="24"/>
              </w:rPr>
            </w:pPr>
          </w:p>
          <w:p w14:paraId="4A362F4E" w14:textId="77777777" w:rsidR="006772AA" w:rsidRDefault="006772AA" w:rsidP="00AA67E3">
            <w:pPr>
              <w:rPr>
                <w:rFonts w:cs="Arial"/>
                <w:b w:val="0"/>
                <w:sz w:val="24"/>
                <w:szCs w:val="24"/>
              </w:rPr>
            </w:pPr>
          </w:p>
          <w:p w14:paraId="6CA3A56F" w14:textId="77777777" w:rsidR="006772AA" w:rsidRDefault="006772AA" w:rsidP="00AA67E3">
            <w:pPr>
              <w:rPr>
                <w:rFonts w:cs="Arial"/>
                <w:b w:val="0"/>
                <w:sz w:val="24"/>
                <w:szCs w:val="24"/>
              </w:rPr>
            </w:pPr>
          </w:p>
          <w:p w14:paraId="0F396217" w14:textId="77777777" w:rsidR="006772AA" w:rsidRDefault="006772AA" w:rsidP="00AA67E3">
            <w:pPr>
              <w:rPr>
                <w:rFonts w:cs="Arial"/>
                <w:b w:val="0"/>
                <w:sz w:val="24"/>
                <w:szCs w:val="24"/>
              </w:rPr>
            </w:pPr>
          </w:p>
          <w:p w14:paraId="488AD689" w14:textId="77777777" w:rsidR="006772AA" w:rsidRDefault="006772AA" w:rsidP="00AA67E3">
            <w:pPr>
              <w:rPr>
                <w:rFonts w:cs="Arial"/>
                <w:b w:val="0"/>
                <w:sz w:val="24"/>
                <w:szCs w:val="24"/>
              </w:rPr>
            </w:pPr>
          </w:p>
          <w:p w14:paraId="0C92F3DA" w14:textId="77777777" w:rsidR="006772AA" w:rsidRDefault="006772AA" w:rsidP="00AA67E3">
            <w:pPr>
              <w:rPr>
                <w:rFonts w:cs="Arial"/>
                <w:b w:val="0"/>
                <w:sz w:val="24"/>
                <w:szCs w:val="24"/>
              </w:rPr>
            </w:pPr>
          </w:p>
          <w:p w14:paraId="6151DE29" w14:textId="77777777" w:rsidR="006772AA" w:rsidRDefault="006772AA" w:rsidP="00AA67E3">
            <w:pPr>
              <w:rPr>
                <w:rFonts w:cs="Arial"/>
                <w:b w:val="0"/>
                <w:sz w:val="24"/>
                <w:szCs w:val="24"/>
              </w:rPr>
            </w:pPr>
          </w:p>
          <w:p w14:paraId="43E15911" w14:textId="77777777" w:rsidR="006772AA" w:rsidRDefault="006772AA" w:rsidP="00AA67E3">
            <w:pPr>
              <w:rPr>
                <w:rFonts w:cs="Arial"/>
                <w:b w:val="0"/>
                <w:sz w:val="24"/>
                <w:szCs w:val="24"/>
              </w:rPr>
            </w:pPr>
          </w:p>
          <w:p w14:paraId="40F1D123" w14:textId="1CC4C5B4" w:rsidR="006772AA" w:rsidRPr="00911A08" w:rsidRDefault="006772AA" w:rsidP="00AA67E3">
            <w:pPr>
              <w:rPr>
                <w:rFonts w:cs="Arial"/>
                <w:bCs w:val="0"/>
                <w:sz w:val="24"/>
                <w:szCs w:val="24"/>
              </w:rPr>
            </w:pPr>
          </w:p>
        </w:tc>
        <w:tc>
          <w:tcPr>
            <w:tcW w:w="8222" w:type="dxa"/>
            <w:tcBorders>
              <w:top w:val="none" w:sz="0" w:space="0" w:color="auto"/>
              <w:left w:val="nil"/>
              <w:bottom w:val="none" w:sz="0" w:space="0" w:color="auto"/>
              <w:right w:val="none" w:sz="0" w:space="0" w:color="auto"/>
            </w:tcBorders>
          </w:tcPr>
          <w:p w14:paraId="26DAF77B"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To undertake the responsibilities of the AMHP as determined by the Mental Health Act 1983 (as amended by the Mental Health Act 2007) and associated legislation, codes of practice and guidance and undertaken required continuous professional development to maintain AMHP registration.</w:t>
            </w:r>
          </w:p>
          <w:p w14:paraId="3954E40E"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 xml:space="preserve">To be the single point of contact for the social care service – children’s, adults, young </w:t>
            </w:r>
            <w:proofErr w:type="gramStart"/>
            <w:r w:rsidRPr="00C97CE3">
              <w:rPr>
                <w:rFonts w:ascii="Arial" w:hAnsi="Arial" w:cs="Arial"/>
                <w:sz w:val="20"/>
                <w:szCs w:val="20"/>
              </w:rPr>
              <w:t>people</w:t>
            </w:r>
            <w:proofErr w:type="gramEnd"/>
            <w:r w:rsidRPr="00C97CE3">
              <w:rPr>
                <w:rFonts w:ascii="Arial" w:hAnsi="Arial" w:cs="Arial"/>
                <w:sz w:val="20"/>
                <w:szCs w:val="20"/>
              </w:rPr>
              <w:t xml:space="preserve"> and mental health, out of hours.  Whilst on duty the post holder will assess and prioritise incoming work ensuring the appropriate response in line with procedure and using their professional judgement.  The post holder will manage complex cases while on duty and will develop and share the specialist knowledge of other qualified professionals.</w:t>
            </w:r>
          </w:p>
          <w:p w14:paraId="08BDB3AC" w14:textId="077318EE"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To ensure that adults with care and support needs and carers are safe from harm. Where harm or abuse is identified ensuring the safety of the person and undertake the relevant safeguarding enquiries.</w:t>
            </w:r>
          </w:p>
          <w:p w14:paraId="70A28501"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 xml:space="preserve">Working in partnership with health colleagues, other disciplines, </w:t>
            </w:r>
            <w:proofErr w:type="gramStart"/>
            <w:r w:rsidRPr="00C97CE3">
              <w:rPr>
                <w:rFonts w:ascii="Arial" w:hAnsi="Arial" w:cs="Arial"/>
                <w:sz w:val="20"/>
                <w:szCs w:val="20"/>
              </w:rPr>
              <w:t>users</w:t>
            </w:r>
            <w:proofErr w:type="gramEnd"/>
            <w:r w:rsidRPr="00C97CE3">
              <w:rPr>
                <w:rFonts w:ascii="Arial" w:hAnsi="Arial" w:cs="Arial"/>
                <w:sz w:val="20"/>
                <w:szCs w:val="20"/>
              </w:rPr>
              <w:t xml:space="preserve"> and carers, as appropriate.</w:t>
            </w:r>
          </w:p>
          <w:p w14:paraId="25D5680F"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Following assessments, identifying whether the adult</w:t>
            </w:r>
            <w:r w:rsidRPr="00C97CE3">
              <w:rPr>
                <w:rFonts w:cs="Arial"/>
                <w:b/>
                <w:i/>
                <w:sz w:val="20"/>
                <w:szCs w:val="20"/>
              </w:rPr>
              <w:t xml:space="preserve"> </w:t>
            </w:r>
            <w:r w:rsidRPr="00C97CE3">
              <w:rPr>
                <w:rFonts w:cs="Arial"/>
                <w:sz w:val="20"/>
                <w:szCs w:val="20"/>
              </w:rPr>
              <w:t>and/or carers fall within the national eligibility criteria, and communicating this to the adult or carer.</w:t>
            </w:r>
          </w:p>
          <w:p w14:paraId="0705C21F" w14:textId="62F431E0"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Where the adult or carer falls within eligibility criteria, working creatively and innovatively with the adult with care and support needs</w:t>
            </w:r>
            <w:r w:rsidRPr="00C97CE3">
              <w:rPr>
                <w:rFonts w:cs="Arial"/>
                <w:b/>
                <w:i/>
                <w:sz w:val="20"/>
                <w:szCs w:val="20"/>
              </w:rPr>
              <w:t xml:space="preserve"> </w:t>
            </w:r>
            <w:r w:rsidRPr="00C97CE3">
              <w:rPr>
                <w:rFonts w:cs="Arial"/>
                <w:sz w:val="20"/>
                <w:szCs w:val="20"/>
              </w:rPr>
              <w:t>and or carers to develop an agreed care and support plan to achieve the identified outcomes ensuring that the Directorate’s policies on charging for services are followed</w:t>
            </w:r>
            <w:r w:rsidR="00C97CE3" w:rsidRPr="00C97CE3">
              <w:rPr>
                <w:rFonts w:cs="Arial"/>
                <w:sz w:val="20"/>
                <w:szCs w:val="20"/>
              </w:rPr>
              <w:t xml:space="preserve"> and that represent best value. </w:t>
            </w:r>
          </w:p>
          <w:p w14:paraId="02F4DB5C"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 xml:space="preserve">Providing professional support and information, </w:t>
            </w:r>
            <w:proofErr w:type="gramStart"/>
            <w:r w:rsidRPr="00C97CE3">
              <w:rPr>
                <w:rFonts w:cs="Arial"/>
                <w:sz w:val="20"/>
                <w:szCs w:val="20"/>
              </w:rPr>
              <w:t>advice</w:t>
            </w:r>
            <w:proofErr w:type="gramEnd"/>
            <w:r w:rsidRPr="00C97CE3">
              <w:rPr>
                <w:rFonts w:cs="Arial"/>
                <w:sz w:val="20"/>
                <w:szCs w:val="20"/>
              </w:rPr>
              <w:t xml:space="preserve"> and guidance to adults with care and support needs and carers on how their needs could be partly or wholly met by access to universal and other non-care services.</w:t>
            </w:r>
          </w:p>
          <w:p w14:paraId="068FFF77"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Explore opportunities to meet desired outcomes through alternative funding streams for example the voluntary sector or Continuing Health Care funding.</w:t>
            </w:r>
          </w:p>
          <w:p w14:paraId="5D481DB2"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Directly commission packages of support for adults with care and support needs or carers to achieve identified outcomes.</w:t>
            </w:r>
          </w:p>
          <w:p w14:paraId="32A81F9B"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Supporting the uptake of direct payments to meet the adult’s or carers outcomes, or Commission, or direct to, services to meet the adult’s</w:t>
            </w:r>
            <w:r w:rsidRPr="00C97CE3">
              <w:rPr>
                <w:rFonts w:cs="Arial"/>
                <w:b/>
                <w:i/>
                <w:sz w:val="20"/>
                <w:szCs w:val="20"/>
              </w:rPr>
              <w:t xml:space="preserve"> </w:t>
            </w:r>
            <w:r w:rsidRPr="00C97CE3">
              <w:rPr>
                <w:rFonts w:cs="Arial"/>
                <w:sz w:val="20"/>
                <w:szCs w:val="20"/>
              </w:rPr>
              <w:t xml:space="preserve">or carer’s outcomes. </w:t>
            </w:r>
          </w:p>
          <w:p w14:paraId="76D141B7"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Assist in proactively working towards the increased uptake of direct payments and other service development initiatives including (but not limited to) reablement, personalisation, individual budgets, self-</w:t>
            </w:r>
            <w:proofErr w:type="gramStart"/>
            <w:r w:rsidRPr="00C97CE3">
              <w:rPr>
                <w:rFonts w:cs="Arial"/>
                <w:sz w:val="20"/>
                <w:szCs w:val="20"/>
              </w:rPr>
              <w:t>assessment</w:t>
            </w:r>
            <w:proofErr w:type="gramEnd"/>
            <w:r w:rsidRPr="00C97CE3">
              <w:rPr>
                <w:rFonts w:cs="Arial"/>
                <w:sz w:val="20"/>
                <w:szCs w:val="20"/>
              </w:rPr>
              <w:t xml:space="preserve"> and self-directed care.</w:t>
            </w:r>
          </w:p>
          <w:p w14:paraId="54D30376"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Ensuring value for money and maximise opportunities to generate income for adults with care and support needs and carers.</w:t>
            </w:r>
          </w:p>
          <w:p w14:paraId="3E38BAFB"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Undertaking re-assessments and reviews of care pathways as required by your line manager.</w:t>
            </w:r>
          </w:p>
          <w:p w14:paraId="216A055A"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lang w:val="en-US"/>
              </w:rPr>
              <w:t>To complete recovery focused support plans to enable referrals to other mental health service colleagues</w:t>
            </w:r>
          </w:p>
          <w:p w14:paraId="7B5C232F"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Participating in the duty system as required by the Team Manager.</w:t>
            </w:r>
          </w:p>
          <w:p w14:paraId="6AA2BEC8"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lastRenderedPageBreak/>
              <w:t>Attend Section 117 meetings as a representative of the Authority, as required.</w:t>
            </w:r>
          </w:p>
          <w:p w14:paraId="007DDD85"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Act as an Appropriate Adult under PACE legislation, where appropriate.</w:t>
            </w:r>
          </w:p>
          <w:p w14:paraId="77A7E924"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Authorise fees and other associated fees related to the legislative role.</w:t>
            </w:r>
          </w:p>
          <w:p w14:paraId="7FA80243"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Support a person’s journey through the MHA process including aftercare/guidance referring to relevant services.</w:t>
            </w:r>
          </w:p>
          <w:p w14:paraId="6B6BB734" w14:textId="77777777" w:rsidR="00AA67E3" w:rsidRPr="00C97CE3" w:rsidRDefault="00AA67E3" w:rsidP="00AA67E3">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97CE3">
              <w:rPr>
                <w:rFonts w:cs="Arial"/>
                <w:sz w:val="20"/>
                <w:szCs w:val="20"/>
              </w:rPr>
              <w:t xml:space="preserve">Act as a Social Supervisor under Part 3 of the MHA </w:t>
            </w:r>
          </w:p>
          <w:p w14:paraId="1E603144"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Assess children, their families and vulnerable adults’ needs and make appropriate recommendations for services to achieve agreed outcomes. Evaluate situations and analyse and record in an appropriate manner</w:t>
            </w:r>
          </w:p>
          <w:p w14:paraId="6B4EBC6A"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 xml:space="preserve">Ensure professional decisions are made according to the highest standards, using an evidence base and stand up to scrutiny.  Provide appropriate challenge to the decisions of other professionals if required. </w:t>
            </w:r>
          </w:p>
          <w:p w14:paraId="469F2FFC" w14:textId="77777777" w:rsidR="00AA67E3" w:rsidRPr="00C97CE3" w:rsidRDefault="00AA67E3" w:rsidP="00AA67E3">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CE3">
              <w:rPr>
                <w:rFonts w:ascii="Arial" w:hAnsi="Arial" w:cs="Arial"/>
                <w:sz w:val="20"/>
                <w:szCs w:val="20"/>
              </w:rPr>
              <w:t>Understand your own role, and the importance of providing care or support through transitional periods.</w:t>
            </w:r>
          </w:p>
          <w:p w14:paraId="17F105DB" w14:textId="6400AB97" w:rsidR="00AA67E3" w:rsidRPr="00C97CE3" w:rsidRDefault="00AA67E3" w:rsidP="00AA67E3">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97CE3">
              <w:rPr>
                <w:rFonts w:ascii="Arial" w:hAnsi="Arial" w:cs="Arial"/>
                <w:sz w:val="20"/>
                <w:szCs w:val="20"/>
              </w:rPr>
              <w:t>Maintain and update case notes and other records, write reports as required, give evidence in court in relation to care proceedings</w:t>
            </w:r>
          </w:p>
        </w:tc>
      </w:tr>
      <w:tr w:rsidR="00AA67E3" w:rsidRPr="0070480A" w14:paraId="0899571B"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73766EE" w14:textId="77777777" w:rsidR="00AA67E3" w:rsidRPr="00911A08" w:rsidRDefault="00AA67E3" w:rsidP="00AA67E3">
            <w:pPr>
              <w:rPr>
                <w:rFonts w:cs="Arial"/>
                <w:bCs w:val="0"/>
                <w:sz w:val="24"/>
                <w:szCs w:val="24"/>
              </w:rPr>
            </w:pPr>
            <w:r w:rsidRPr="00911A08">
              <w:rPr>
                <w:rFonts w:cs="Arial"/>
                <w:bCs w:val="0"/>
                <w:sz w:val="24"/>
                <w:szCs w:val="24"/>
              </w:rPr>
              <w:lastRenderedPageBreak/>
              <w:t>Resource management:</w:t>
            </w:r>
          </w:p>
        </w:tc>
        <w:tc>
          <w:tcPr>
            <w:tcW w:w="8222" w:type="dxa"/>
            <w:tcBorders>
              <w:left w:val="nil"/>
            </w:tcBorders>
            <w:vAlign w:val="center"/>
          </w:tcPr>
          <w:p w14:paraId="293ACB0B" w14:textId="77777777" w:rsidR="00AA67E3" w:rsidRPr="00C97CE3" w:rsidRDefault="00AA67E3" w:rsidP="00AA67E3">
            <w:pPr>
              <w:pStyle w:val="ListParagraph"/>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CE3">
              <w:rPr>
                <w:rFonts w:ascii="Arial" w:hAnsi="Arial" w:cs="Arial"/>
                <w:sz w:val="20"/>
                <w:szCs w:val="20"/>
              </w:rPr>
              <w:t xml:space="preserve">Ensure you are familiar with and compliant with policies, </w:t>
            </w:r>
            <w:proofErr w:type="gramStart"/>
            <w:r w:rsidRPr="00C97CE3">
              <w:rPr>
                <w:rFonts w:ascii="Arial" w:hAnsi="Arial" w:cs="Arial"/>
                <w:sz w:val="20"/>
                <w:szCs w:val="20"/>
              </w:rPr>
              <w:t>procedures</w:t>
            </w:r>
            <w:proofErr w:type="gramEnd"/>
            <w:r w:rsidRPr="00C97CE3">
              <w:rPr>
                <w:rFonts w:ascii="Arial" w:hAnsi="Arial" w:cs="Arial"/>
                <w:sz w:val="20"/>
                <w:szCs w:val="20"/>
              </w:rPr>
              <w:t xml:space="preserve"> and good practice standards.</w:t>
            </w:r>
          </w:p>
          <w:p w14:paraId="6374882F" w14:textId="4F8C3445" w:rsidR="00AA67E3" w:rsidRPr="00C97CE3" w:rsidRDefault="00AA67E3" w:rsidP="00AA67E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97CE3">
              <w:rPr>
                <w:rFonts w:ascii="Arial" w:hAnsi="Arial" w:cs="Arial"/>
                <w:sz w:val="20"/>
                <w:szCs w:val="20"/>
              </w:rPr>
              <w:t xml:space="preserve">Ensure service information is available to service users, their </w:t>
            </w:r>
            <w:proofErr w:type="gramStart"/>
            <w:r w:rsidRPr="00C97CE3">
              <w:rPr>
                <w:rFonts w:ascii="Arial" w:hAnsi="Arial" w:cs="Arial"/>
                <w:sz w:val="20"/>
                <w:szCs w:val="20"/>
              </w:rPr>
              <w:t>families</w:t>
            </w:r>
            <w:proofErr w:type="gramEnd"/>
            <w:r w:rsidRPr="00C97CE3">
              <w:rPr>
                <w:rFonts w:ascii="Arial" w:hAnsi="Arial" w:cs="Arial"/>
                <w:sz w:val="20"/>
                <w:szCs w:val="20"/>
              </w:rPr>
              <w:t xml:space="preserve"> and the general public as appropriate.</w:t>
            </w:r>
          </w:p>
        </w:tc>
      </w:tr>
      <w:tr w:rsidR="00AA67E3" w:rsidRPr="0070480A" w14:paraId="62AB27D2"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7DAF6D17" w14:textId="77777777" w:rsidR="00AA67E3" w:rsidRPr="00911A08" w:rsidRDefault="00AA67E3" w:rsidP="00AA67E3">
            <w:pPr>
              <w:rPr>
                <w:rFonts w:cs="Arial"/>
                <w:bCs w:val="0"/>
                <w:sz w:val="24"/>
                <w:szCs w:val="24"/>
              </w:rPr>
            </w:pPr>
            <w:r>
              <w:rPr>
                <w:rFonts w:cs="Arial"/>
                <w:bCs w:val="0"/>
                <w:sz w:val="24"/>
                <w:szCs w:val="24"/>
              </w:rPr>
              <w:t>Partnerships:</w:t>
            </w:r>
          </w:p>
        </w:tc>
        <w:tc>
          <w:tcPr>
            <w:tcW w:w="8222" w:type="dxa"/>
            <w:tcBorders>
              <w:top w:val="none" w:sz="0" w:space="0" w:color="auto"/>
              <w:left w:val="nil"/>
              <w:bottom w:val="none" w:sz="0" w:space="0" w:color="auto"/>
              <w:right w:val="none" w:sz="0" w:space="0" w:color="auto"/>
            </w:tcBorders>
            <w:vAlign w:val="center"/>
          </w:tcPr>
          <w:p w14:paraId="12697DA0"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Strive for effective communication and teamwork with other practitioners and professionals.  Provide professional advice and guidance as required.</w:t>
            </w:r>
          </w:p>
          <w:p w14:paraId="74051E04"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Ensure multi-agency engagement in all assessment and planning processes.</w:t>
            </w:r>
          </w:p>
          <w:p w14:paraId="035D76D1"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Plan and commission services and support for children, young people and their families, vulnerable adults</w:t>
            </w:r>
          </w:p>
          <w:p w14:paraId="33A3F10A"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Liaise with colleagues in own and other departments and external agencies in order to gather information relevant to assessment and care planning activities.</w:t>
            </w:r>
          </w:p>
          <w:p w14:paraId="3362E08E"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Represent the team/service at intra and inter agency meetings.</w:t>
            </w:r>
          </w:p>
          <w:p w14:paraId="734D6BD8"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Understand and promote your role in sustaining good relationships across agencies.</w:t>
            </w:r>
          </w:p>
          <w:p w14:paraId="4DF8F3BB" w14:textId="7C2F2983" w:rsidR="00AA67E3" w:rsidRPr="00E915A2" w:rsidRDefault="00AA67E3" w:rsidP="00AA67E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915A2">
              <w:rPr>
                <w:rFonts w:ascii="Arial" w:hAnsi="Arial" w:cs="Arial"/>
                <w:sz w:val="20"/>
                <w:szCs w:val="20"/>
              </w:rPr>
              <w:t>Use appropriate systems for obtaining support and reporting concerns.</w:t>
            </w:r>
          </w:p>
        </w:tc>
      </w:tr>
      <w:tr w:rsidR="00AA67E3" w:rsidRPr="0070480A" w14:paraId="62980786"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33467AA" w14:textId="77777777" w:rsidR="00AA67E3" w:rsidRDefault="00AA67E3" w:rsidP="00AA67E3">
            <w:pPr>
              <w:rPr>
                <w:rFonts w:cs="Arial"/>
                <w:bCs w:val="0"/>
                <w:sz w:val="24"/>
                <w:szCs w:val="24"/>
              </w:rPr>
            </w:pPr>
            <w:r>
              <w:rPr>
                <w:rFonts w:cs="Arial"/>
                <w:bCs w:val="0"/>
                <w:sz w:val="24"/>
                <w:szCs w:val="24"/>
              </w:rPr>
              <w:t>Communications:</w:t>
            </w:r>
          </w:p>
        </w:tc>
        <w:tc>
          <w:tcPr>
            <w:tcW w:w="8222" w:type="dxa"/>
            <w:tcBorders>
              <w:left w:val="nil"/>
            </w:tcBorders>
            <w:vAlign w:val="center"/>
          </w:tcPr>
          <w:p w14:paraId="0771715C" w14:textId="77777777" w:rsidR="00AA67E3" w:rsidRPr="00E915A2" w:rsidRDefault="00AA67E3" w:rsidP="00AA67E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Provide advice and support to other professional staff in relation to complex cases.</w:t>
            </w:r>
          </w:p>
          <w:p w14:paraId="261698BC" w14:textId="77777777" w:rsidR="00AA67E3" w:rsidRPr="00E915A2" w:rsidRDefault="00AA67E3" w:rsidP="00AA67E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Establish rapport and respectful trusting relationships with children, adults, young </w:t>
            </w:r>
            <w:proofErr w:type="gramStart"/>
            <w:r w:rsidRPr="00E915A2">
              <w:rPr>
                <w:rFonts w:cs="Arial"/>
                <w:color w:val="000000" w:themeColor="text1"/>
                <w:sz w:val="20"/>
                <w:szCs w:val="20"/>
              </w:rPr>
              <w:t>people</w:t>
            </w:r>
            <w:proofErr w:type="gramEnd"/>
            <w:r w:rsidRPr="00E915A2">
              <w:rPr>
                <w:rFonts w:cs="Arial"/>
                <w:color w:val="000000" w:themeColor="text1"/>
                <w:sz w:val="20"/>
                <w:szCs w:val="20"/>
              </w:rPr>
              <w:t xml:space="preserve"> and families.</w:t>
            </w:r>
          </w:p>
          <w:p w14:paraId="4BEE349F" w14:textId="77777777" w:rsidR="00AA67E3" w:rsidRPr="00E915A2" w:rsidRDefault="00AA67E3" w:rsidP="00AA67E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Involve children and young people as appropriate when taking action that affects them.</w:t>
            </w:r>
          </w:p>
          <w:p w14:paraId="0C6586D1" w14:textId="77777777" w:rsidR="00AA67E3" w:rsidRPr="00E915A2" w:rsidRDefault="00AA67E3" w:rsidP="00AA67E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Encourage children, </w:t>
            </w:r>
            <w:proofErr w:type="gramStart"/>
            <w:r w:rsidRPr="00E915A2">
              <w:rPr>
                <w:rFonts w:cs="Arial"/>
                <w:color w:val="000000" w:themeColor="text1"/>
                <w:sz w:val="20"/>
                <w:szCs w:val="20"/>
              </w:rPr>
              <w:t>adults</w:t>
            </w:r>
            <w:proofErr w:type="gramEnd"/>
            <w:r w:rsidRPr="00E915A2">
              <w:rPr>
                <w:rFonts w:cs="Arial"/>
                <w:color w:val="000000" w:themeColor="text1"/>
                <w:sz w:val="20"/>
                <w:szCs w:val="20"/>
              </w:rPr>
              <w:t xml:space="preserve"> and young people to share information.</w:t>
            </w:r>
          </w:p>
          <w:p w14:paraId="2DF1A53E" w14:textId="77777777" w:rsidR="00AA67E3" w:rsidRPr="00E915A2" w:rsidRDefault="00AA67E3" w:rsidP="00AA67E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Attend planning meetings, case conferences, strategy meetings and other appropriate forums for discussion and decision-making where appropriate.</w:t>
            </w:r>
          </w:p>
          <w:p w14:paraId="2A5D0089" w14:textId="77777777" w:rsidR="00AA67E3" w:rsidRPr="00E915A2" w:rsidRDefault="00AA67E3" w:rsidP="00AA67E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Work with the line manager to contribute to the development of the local community to enable the empowerment of adults with care and support needs and carers.  </w:t>
            </w:r>
          </w:p>
          <w:p w14:paraId="7C79AABD" w14:textId="4CEA4669" w:rsidR="00AA67E3" w:rsidRPr="00E915A2" w:rsidRDefault="00AA67E3" w:rsidP="00AA67E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915A2">
              <w:rPr>
                <w:rFonts w:ascii="Arial" w:hAnsi="Arial" w:cs="Arial"/>
                <w:sz w:val="20"/>
                <w:szCs w:val="20"/>
              </w:rPr>
              <w:t xml:space="preserve">Liaising with local, </w:t>
            </w:r>
            <w:proofErr w:type="gramStart"/>
            <w:r w:rsidRPr="00E915A2">
              <w:rPr>
                <w:rFonts w:ascii="Arial" w:hAnsi="Arial" w:cs="Arial"/>
                <w:sz w:val="20"/>
                <w:szCs w:val="20"/>
              </w:rPr>
              <w:t>universal</w:t>
            </w:r>
            <w:proofErr w:type="gramEnd"/>
            <w:r w:rsidRPr="00E915A2">
              <w:rPr>
                <w:rFonts w:ascii="Arial" w:hAnsi="Arial" w:cs="Arial"/>
                <w:sz w:val="20"/>
                <w:szCs w:val="20"/>
              </w:rPr>
              <w:t xml:space="preserve"> and other services to promote access to them by adults with care and support needs and carers.</w:t>
            </w:r>
          </w:p>
        </w:tc>
      </w:tr>
      <w:tr w:rsidR="00AA67E3" w:rsidRPr="0070480A" w14:paraId="44CFF1B7"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D658B0C" w14:textId="77777777" w:rsidR="00AA67E3" w:rsidRDefault="00AA67E3" w:rsidP="00AA67E3">
            <w:pPr>
              <w:rPr>
                <w:rFonts w:cs="Arial"/>
                <w:bCs w:val="0"/>
                <w:sz w:val="24"/>
                <w:szCs w:val="24"/>
              </w:rPr>
            </w:pPr>
            <w:r>
              <w:rPr>
                <w:rFonts w:cs="Arial"/>
                <w:bCs w:val="0"/>
                <w:sz w:val="24"/>
                <w:szCs w:val="24"/>
              </w:rPr>
              <w:t>Systems and information:</w:t>
            </w:r>
          </w:p>
        </w:tc>
        <w:tc>
          <w:tcPr>
            <w:tcW w:w="8222" w:type="dxa"/>
            <w:tcBorders>
              <w:left w:val="nil"/>
            </w:tcBorders>
            <w:vAlign w:val="center"/>
          </w:tcPr>
          <w:p w14:paraId="17104195"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 xml:space="preserve">Utilise the current business processes to support the Children’s and Adult Social Care function in relation to case recording, financial monitoring, IT. </w:t>
            </w:r>
          </w:p>
          <w:p w14:paraId="65B0A43A"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To assist in the collection of client data and make appropriate use of IT systems.</w:t>
            </w:r>
          </w:p>
          <w:p w14:paraId="449940A1"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Maintain up to date and accurate database records to meet NYCC requirements</w:t>
            </w:r>
          </w:p>
          <w:p w14:paraId="4651281F"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 xml:space="preserve">Contribute to the ongoing improvement and development of Adult Social Care processes and systems in conjunction with your line manager. </w:t>
            </w:r>
          </w:p>
          <w:p w14:paraId="327CF99D"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 xml:space="preserve">Use systems and information as appropriate to ensure appropriate information is recorded about cases, </w:t>
            </w:r>
            <w:proofErr w:type="gramStart"/>
            <w:r w:rsidRPr="00E915A2">
              <w:rPr>
                <w:rFonts w:ascii="Arial" w:hAnsi="Arial" w:cs="Arial"/>
                <w:sz w:val="20"/>
                <w:szCs w:val="20"/>
              </w:rPr>
              <w:t>contacts</w:t>
            </w:r>
            <w:proofErr w:type="gramEnd"/>
            <w:r w:rsidRPr="00E915A2">
              <w:rPr>
                <w:rFonts w:ascii="Arial" w:hAnsi="Arial" w:cs="Arial"/>
                <w:sz w:val="20"/>
                <w:szCs w:val="20"/>
              </w:rPr>
              <w:t xml:space="preserve"> and individuals.</w:t>
            </w:r>
          </w:p>
          <w:p w14:paraId="7F80D964" w14:textId="77777777" w:rsidR="00AA67E3" w:rsidRPr="00E915A2" w:rsidRDefault="00AA67E3" w:rsidP="00AA67E3">
            <w:pPr>
              <w:pStyle w:val="ListParagraph"/>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5A2">
              <w:rPr>
                <w:rFonts w:ascii="Arial" w:hAnsi="Arial" w:cs="Arial"/>
                <w:sz w:val="20"/>
                <w:szCs w:val="20"/>
              </w:rPr>
              <w:t>Maintain good case records, write reports as required in line with departmental standards.  If required, give evidence in court in relation to care or other proceedings.</w:t>
            </w:r>
          </w:p>
          <w:p w14:paraId="3B9456BA" w14:textId="0D20DDF9" w:rsidR="00AA67E3" w:rsidRPr="00E915A2" w:rsidRDefault="00AA67E3" w:rsidP="00AA67E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915A2">
              <w:rPr>
                <w:rFonts w:ascii="Arial" w:hAnsi="Arial" w:cs="Arial"/>
                <w:sz w:val="20"/>
                <w:szCs w:val="20"/>
              </w:rPr>
              <w:lastRenderedPageBreak/>
              <w:t>Adhere to professional and organisational procedures on confidentiality, information governance and data protection maintaining appropriate boundaries with service users and their families.</w:t>
            </w:r>
          </w:p>
        </w:tc>
      </w:tr>
      <w:tr w:rsidR="00AA67E3" w:rsidRPr="0070480A" w14:paraId="779BF6A5"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5DF26C7" w14:textId="14BFBA40" w:rsidR="00AA67E3" w:rsidRDefault="00AA67E3" w:rsidP="00AA67E3">
            <w:pPr>
              <w:rPr>
                <w:rFonts w:cs="Arial"/>
                <w:sz w:val="24"/>
                <w:szCs w:val="24"/>
              </w:rPr>
            </w:pPr>
            <w:r>
              <w:rPr>
                <w:rFonts w:cs="Arial"/>
                <w:sz w:val="24"/>
                <w:szCs w:val="24"/>
              </w:rPr>
              <w:lastRenderedPageBreak/>
              <w:t>Safeguarding:</w:t>
            </w:r>
          </w:p>
        </w:tc>
        <w:tc>
          <w:tcPr>
            <w:tcW w:w="8222" w:type="dxa"/>
            <w:tcBorders>
              <w:left w:val="nil"/>
            </w:tcBorders>
            <w:vAlign w:val="center"/>
          </w:tcPr>
          <w:p w14:paraId="239C9EE7" w14:textId="77777777" w:rsidR="00AA67E3" w:rsidRPr="00E915A2" w:rsidRDefault="00AA67E3" w:rsidP="00AA67E3">
            <w:pPr>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Be committed to safeguarding and promote the welfare of children, young people, and adults, raising concerns as appropriate.</w:t>
            </w:r>
          </w:p>
          <w:p w14:paraId="4A88D9DC" w14:textId="77777777" w:rsidR="00AA67E3" w:rsidRPr="00E915A2" w:rsidRDefault="00AA67E3" w:rsidP="00AA67E3">
            <w:pPr>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Intervening in emergency situations to protect children and adults who have care and support needs or carers</w:t>
            </w:r>
            <w:r w:rsidRPr="00E915A2">
              <w:rPr>
                <w:rFonts w:cs="Arial"/>
                <w:i/>
                <w:color w:val="000000" w:themeColor="text1"/>
                <w:sz w:val="20"/>
                <w:szCs w:val="20"/>
              </w:rPr>
              <w:t xml:space="preserve"> </w:t>
            </w:r>
            <w:r w:rsidRPr="00E915A2">
              <w:rPr>
                <w:rFonts w:cs="Arial"/>
                <w:color w:val="000000" w:themeColor="text1"/>
                <w:sz w:val="20"/>
                <w:szCs w:val="20"/>
              </w:rPr>
              <w:t>and to initiate the appropriate statutory and other actions required and following the appropriate training and experience to undertake safeguarding adult’s investigations as Lead Investigator where required by the Team Manager.</w:t>
            </w:r>
          </w:p>
          <w:p w14:paraId="7F1AB3DF" w14:textId="77777777" w:rsidR="00AA67E3" w:rsidRPr="00E915A2" w:rsidRDefault="00AA67E3" w:rsidP="00AA67E3">
            <w:pPr>
              <w:numPr>
                <w:ilvl w:val="0"/>
                <w:numId w:val="21"/>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Use relevant systems to protect children and adults effectively. </w:t>
            </w:r>
          </w:p>
          <w:p w14:paraId="3E7361E1" w14:textId="77777777" w:rsidR="00AA67E3" w:rsidRPr="00E915A2" w:rsidRDefault="00AA67E3" w:rsidP="00AA67E3">
            <w:pPr>
              <w:numPr>
                <w:ilvl w:val="0"/>
                <w:numId w:val="21"/>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Complete assessments within timescales, develop care plans and provide support for children and their families, and vulnerable adults </w:t>
            </w:r>
          </w:p>
          <w:p w14:paraId="6B7ED5EB" w14:textId="77777777" w:rsidR="00AA67E3" w:rsidRPr="00E915A2" w:rsidRDefault="00AA67E3" w:rsidP="00AA67E3">
            <w:pPr>
              <w:numPr>
                <w:ilvl w:val="0"/>
                <w:numId w:val="21"/>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Provide support and advice to carers and encourage the development and maintenance of appropriate support networks and services within individual homes or in the community </w:t>
            </w:r>
          </w:p>
          <w:p w14:paraId="7BE188C3" w14:textId="77777777" w:rsidR="00AA67E3" w:rsidRPr="00E915A2" w:rsidRDefault="00AA67E3" w:rsidP="00AA67E3">
            <w:pPr>
              <w:numPr>
                <w:ilvl w:val="0"/>
                <w:numId w:val="21"/>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Take necessary statutory or other action in relation to the safety of children, vulnerable adults including emergency situations, and liaison with other agencies as necessary in such cases. </w:t>
            </w:r>
          </w:p>
          <w:p w14:paraId="16488C5D" w14:textId="77777777" w:rsidR="00AA67E3" w:rsidRPr="00E915A2" w:rsidRDefault="00AA67E3" w:rsidP="00AA67E3">
            <w:pPr>
              <w:numPr>
                <w:ilvl w:val="0"/>
                <w:numId w:val="21"/>
              </w:num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915A2">
              <w:rPr>
                <w:rFonts w:cs="Arial"/>
                <w:color w:val="000000" w:themeColor="text1"/>
                <w:sz w:val="20"/>
                <w:szCs w:val="20"/>
              </w:rPr>
              <w:t xml:space="preserve">Investigate allegations of neglect, abuse, or ill-treatment, in accordance with relevant legislative requirements and child protection procedures; undertake assessments of risk and need; where appropriate, arrange accommodation for children and young people. </w:t>
            </w:r>
          </w:p>
          <w:p w14:paraId="0CDF8FCA" w14:textId="783D986F" w:rsidR="00AA67E3" w:rsidRPr="00E915A2" w:rsidRDefault="00AA67E3" w:rsidP="00AA67E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915A2">
              <w:rPr>
                <w:rFonts w:ascii="Arial" w:hAnsi="Arial" w:cs="Arial"/>
                <w:sz w:val="20"/>
                <w:szCs w:val="20"/>
              </w:rPr>
              <w:t>Apply for child assessment orders and emergency protection orders.</w:t>
            </w:r>
          </w:p>
        </w:tc>
      </w:tr>
    </w:tbl>
    <w:p w14:paraId="6FD5411A"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2195679A"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632F699F"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420" w:type="pct"/>
          </w:tcPr>
          <w:p w14:paraId="2CF3D73F"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8535D7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7BB43F01" w14:textId="77777777" w:rsidR="003709C0" w:rsidRPr="00911A08" w:rsidRDefault="003709C0" w:rsidP="001F7858">
            <w:pPr>
              <w:rPr>
                <w:rFonts w:cs="Arial"/>
                <w:sz w:val="24"/>
                <w:szCs w:val="24"/>
              </w:rPr>
            </w:pPr>
            <w:r w:rsidRPr="00911A08">
              <w:rPr>
                <w:rFonts w:cs="Arial"/>
                <w:sz w:val="24"/>
                <w:szCs w:val="24"/>
              </w:rPr>
              <w:t>Essential</w:t>
            </w:r>
          </w:p>
        </w:tc>
        <w:tc>
          <w:tcPr>
            <w:tcW w:w="1420" w:type="pct"/>
            <w:shd w:val="clear" w:color="auto" w:fill="D5BFAC" w:themeFill="accent3" w:themeFillTint="66"/>
          </w:tcPr>
          <w:p w14:paraId="4CE2152E"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911A08">
              <w:rPr>
                <w:rFonts w:cs="Arial"/>
                <w:b/>
                <w:sz w:val="24"/>
                <w:szCs w:val="24"/>
              </w:rPr>
              <w:t>Desirable</w:t>
            </w:r>
          </w:p>
        </w:tc>
      </w:tr>
      <w:tr w:rsidR="00AA67E3" w:rsidRPr="00A06266" w14:paraId="3E5F7D7B"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C729297" w14:textId="77777777" w:rsidR="00AA67E3" w:rsidRPr="00711597" w:rsidRDefault="00AA67E3" w:rsidP="00AA67E3">
            <w:pPr>
              <w:rPr>
                <w:rFonts w:cs="Arial"/>
                <w:sz w:val="20"/>
                <w:szCs w:val="20"/>
              </w:rPr>
            </w:pPr>
            <w:r w:rsidRPr="00711597">
              <w:rPr>
                <w:rFonts w:cs="Arial"/>
                <w:sz w:val="20"/>
                <w:szCs w:val="20"/>
              </w:rPr>
              <w:t>Knowledge &amp; Experience</w:t>
            </w:r>
          </w:p>
          <w:p w14:paraId="126E8C7D" w14:textId="77777777" w:rsidR="00AA67E3" w:rsidRPr="00711597" w:rsidRDefault="00AA67E3" w:rsidP="00AA67E3">
            <w:pPr>
              <w:pStyle w:val="BodyTextIndent"/>
              <w:numPr>
                <w:ilvl w:val="0"/>
                <w:numId w:val="4"/>
              </w:numPr>
              <w:spacing w:after="0"/>
              <w:rPr>
                <w:rFonts w:ascii="Arial" w:hAnsi="Arial" w:cs="Arial"/>
                <w:b w:val="0"/>
                <w:bCs w:val="0"/>
                <w:sz w:val="20"/>
                <w:szCs w:val="20"/>
              </w:rPr>
            </w:pPr>
            <w:r w:rsidRPr="00711597">
              <w:rPr>
                <w:rFonts w:ascii="Arial" w:hAnsi="Arial" w:cs="Arial"/>
                <w:b w:val="0"/>
                <w:bCs w:val="0"/>
                <w:sz w:val="20"/>
                <w:szCs w:val="20"/>
              </w:rPr>
              <w:t xml:space="preserve">Knowledge and experience of good practice standards in relation to children, </w:t>
            </w:r>
            <w:proofErr w:type="gramStart"/>
            <w:r w:rsidRPr="00711597">
              <w:rPr>
                <w:rFonts w:ascii="Arial" w:hAnsi="Arial" w:cs="Arial"/>
                <w:b w:val="0"/>
                <w:bCs w:val="0"/>
                <w:sz w:val="20"/>
                <w:szCs w:val="20"/>
              </w:rPr>
              <w:t>adults</w:t>
            </w:r>
            <w:proofErr w:type="gramEnd"/>
            <w:r w:rsidRPr="00711597">
              <w:rPr>
                <w:rFonts w:ascii="Arial" w:hAnsi="Arial" w:cs="Arial"/>
                <w:b w:val="0"/>
                <w:bCs w:val="0"/>
                <w:sz w:val="20"/>
                <w:szCs w:val="20"/>
              </w:rPr>
              <w:t xml:space="preserve"> and families at a local level</w:t>
            </w:r>
          </w:p>
          <w:p w14:paraId="361064E3" w14:textId="77777777" w:rsidR="00AA67E3" w:rsidRPr="00711597" w:rsidRDefault="00AA67E3" w:rsidP="00AA67E3">
            <w:pPr>
              <w:pStyle w:val="BodyTextIndent"/>
              <w:numPr>
                <w:ilvl w:val="0"/>
                <w:numId w:val="4"/>
              </w:numPr>
              <w:spacing w:after="0"/>
              <w:rPr>
                <w:rFonts w:ascii="Arial" w:hAnsi="Arial" w:cs="Arial"/>
                <w:b w:val="0"/>
                <w:sz w:val="20"/>
                <w:szCs w:val="20"/>
              </w:rPr>
            </w:pPr>
            <w:r w:rsidRPr="00711597">
              <w:rPr>
                <w:rFonts w:ascii="Arial" w:hAnsi="Arial" w:cs="Arial"/>
                <w:b w:val="0"/>
                <w:sz w:val="20"/>
                <w:szCs w:val="20"/>
              </w:rPr>
              <w:t xml:space="preserve">Excellent working knowledge, understanding and application of the legislation, </w:t>
            </w:r>
            <w:proofErr w:type="gramStart"/>
            <w:r w:rsidRPr="00711597">
              <w:rPr>
                <w:rFonts w:ascii="Arial" w:hAnsi="Arial" w:cs="Arial"/>
                <w:b w:val="0"/>
                <w:sz w:val="20"/>
                <w:szCs w:val="20"/>
              </w:rPr>
              <w:t>guidance</w:t>
            </w:r>
            <w:proofErr w:type="gramEnd"/>
            <w:r w:rsidRPr="00711597">
              <w:rPr>
                <w:rFonts w:ascii="Arial" w:hAnsi="Arial" w:cs="Arial"/>
                <w:b w:val="0"/>
                <w:sz w:val="20"/>
                <w:szCs w:val="20"/>
              </w:rPr>
              <w:t xml:space="preserve"> and regulations for working with children’s, adults and families.</w:t>
            </w:r>
          </w:p>
          <w:p w14:paraId="2DFB2B43" w14:textId="77777777" w:rsidR="00AA67E3" w:rsidRPr="00711597" w:rsidRDefault="00AA67E3" w:rsidP="00AA67E3">
            <w:pPr>
              <w:pStyle w:val="BodyTextIndent"/>
              <w:numPr>
                <w:ilvl w:val="0"/>
                <w:numId w:val="4"/>
              </w:numPr>
              <w:spacing w:after="0"/>
              <w:rPr>
                <w:rFonts w:ascii="Arial" w:hAnsi="Arial" w:cs="Arial"/>
                <w:b w:val="0"/>
                <w:sz w:val="20"/>
                <w:szCs w:val="20"/>
              </w:rPr>
            </w:pPr>
            <w:r w:rsidRPr="00711597">
              <w:rPr>
                <w:rFonts w:ascii="Arial" w:hAnsi="Arial" w:cs="Arial"/>
                <w:b w:val="0"/>
                <w:sz w:val="20"/>
                <w:szCs w:val="20"/>
              </w:rPr>
              <w:t>Knowledge and understanding of social care policy developments and good practice at a local and national level.</w:t>
            </w:r>
          </w:p>
          <w:p w14:paraId="17B7782B" w14:textId="77777777" w:rsidR="00AA67E3" w:rsidRPr="00711597" w:rsidRDefault="00AA67E3" w:rsidP="00AA67E3">
            <w:pPr>
              <w:numPr>
                <w:ilvl w:val="0"/>
                <w:numId w:val="4"/>
              </w:numPr>
              <w:spacing w:line="276" w:lineRule="auto"/>
              <w:rPr>
                <w:rFonts w:cs="Arial"/>
                <w:b w:val="0"/>
                <w:sz w:val="20"/>
                <w:szCs w:val="20"/>
              </w:rPr>
            </w:pPr>
            <w:r w:rsidRPr="00711597">
              <w:rPr>
                <w:rFonts w:cs="Arial"/>
                <w:b w:val="0"/>
                <w:sz w:val="20"/>
                <w:szCs w:val="20"/>
              </w:rPr>
              <w:t>Experience of direct work with people with Mental Health problems.</w:t>
            </w:r>
          </w:p>
          <w:p w14:paraId="7489C064" w14:textId="77777777" w:rsidR="00AA67E3" w:rsidRPr="00711597" w:rsidRDefault="00AA67E3" w:rsidP="00AA67E3">
            <w:pPr>
              <w:numPr>
                <w:ilvl w:val="0"/>
                <w:numId w:val="4"/>
              </w:numPr>
              <w:spacing w:line="276" w:lineRule="auto"/>
              <w:rPr>
                <w:rFonts w:cs="Arial"/>
                <w:b w:val="0"/>
                <w:sz w:val="20"/>
                <w:szCs w:val="20"/>
              </w:rPr>
            </w:pPr>
            <w:r w:rsidRPr="00711597">
              <w:rPr>
                <w:rFonts w:cs="Arial"/>
                <w:b w:val="0"/>
                <w:sz w:val="20"/>
                <w:szCs w:val="20"/>
              </w:rPr>
              <w:t xml:space="preserve">Experience of undertaking mental health act assessments. </w:t>
            </w:r>
          </w:p>
          <w:p w14:paraId="63A6B410" w14:textId="77777777" w:rsidR="00AA67E3" w:rsidRPr="00711597" w:rsidRDefault="00AA67E3" w:rsidP="00AA67E3">
            <w:pPr>
              <w:numPr>
                <w:ilvl w:val="0"/>
                <w:numId w:val="4"/>
              </w:numPr>
              <w:spacing w:line="276" w:lineRule="auto"/>
              <w:rPr>
                <w:rFonts w:cs="Arial"/>
                <w:b w:val="0"/>
                <w:sz w:val="20"/>
                <w:szCs w:val="20"/>
              </w:rPr>
            </w:pPr>
            <w:r w:rsidRPr="00711597">
              <w:rPr>
                <w:rFonts w:cs="Arial"/>
                <w:b w:val="0"/>
                <w:sz w:val="20"/>
                <w:szCs w:val="20"/>
              </w:rPr>
              <w:t>Experience of inter-agency collaboration practice.</w:t>
            </w:r>
          </w:p>
          <w:p w14:paraId="0D56ADD8" w14:textId="77777777" w:rsidR="00AA67E3" w:rsidRPr="00711597" w:rsidRDefault="00AA67E3" w:rsidP="00AA67E3">
            <w:pPr>
              <w:pStyle w:val="BodyTextIndent"/>
              <w:numPr>
                <w:ilvl w:val="0"/>
                <w:numId w:val="4"/>
              </w:numPr>
              <w:spacing w:after="0"/>
              <w:rPr>
                <w:rFonts w:ascii="Arial" w:hAnsi="Arial" w:cs="Arial"/>
                <w:b w:val="0"/>
                <w:sz w:val="20"/>
                <w:szCs w:val="20"/>
              </w:rPr>
            </w:pPr>
            <w:r w:rsidRPr="00711597">
              <w:rPr>
                <w:rFonts w:ascii="Arial" w:hAnsi="Arial" w:cs="Arial"/>
                <w:b w:val="0"/>
                <w:sz w:val="20"/>
                <w:szCs w:val="20"/>
              </w:rPr>
              <w:t>Demonstrable experience of undertaking complex assessment of health or social care needs in a community setting.</w:t>
            </w:r>
          </w:p>
          <w:p w14:paraId="5157FDC0" w14:textId="77777777" w:rsidR="00AA67E3" w:rsidRPr="00711597" w:rsidRDefault="00AA67E3" w:rsidP="00AA67E3">
            <w:pPr>
              <w:pStyle w:val="BodyTextIndent"/>
              <w:numPr>
                <w:ilvl w:val="0"/>
                <w:numId w:val="4"/>
              </w:numPr>
              <w:spacing w:after="0"/>
              <w:rPr>
                <w:rFonts w:ascii="Arial" w:hAnsi="Arial" w:cs="Arial"/>
                <w:b w:val="0"/>
                <w:sz w:val="20"/>
                <w:szCs w:val="20"/>
              </w:rPr>
            </w:pPr>
            <w:r w:rsidRPr="00711597">
              <w:rPr>
                <w:rFonts w:ascii="Arial" w:hAnsi="Arial" w:cs="Arial"/>
                <w:b w:val="0"/>
                <w:sz w:val="20"/>
                <w:szCs w:val="20"/>
              </w:rPr>
              <w:t>Critical understanding of the social perspectives of mental disorder</w:t>
            </w:r>
          </w:p>
          <w:p w14:paraId="37AE9720" w14:textId="77777777" w:rsidR="00AA67E3" w:rsidRPr="00711597" w:rsidRDefault="00AA67E3" w:rsidP="00AA67E3">
            <w:pPr>
              <w:numPr>
                <w:ilvl w:val="0"/>
                <w:numId w:val="4"/>
              </w:numPr>
              <w:contextualSpacing/>
              <w:rPr>
                <w:rFonts w:cs="Arial"/>
                <w:b w:val="0"/>
                <w:bCs w:val="0"/>
                <w:sz w:val="20"/>
                <w:szCs w:val="20"/>
              </w:rPr>
            </w:pPr>
            <w:r w:rsidRPr="00711597">
              <w:rPr>
                <w:rFonts w:cs="Arial"/>
                <w:b w:val="0"/>
                <w:bCs w:val="0"/>
                <w:sz w:val="20"/>
                <w:szCs w:val="20"/>
              </w:rPr>
              <w:t>Understand the role and value of families and carers as partners in supporting their children and adults to achieve positive outcomes.</w:t>
            </w:r>
          </w:p>
          <w:p w14:paraId="3FE88170" w14:textId="77777777" w:rsidR="00AA67E3" w:rsidRPr="00711597" w:rsidRDefault="00AA67E3" w:rsidP="00AA67E3">
            <w:pPr>
              <w:numPr>
                <w:ilvl w:val="0"/>
                <w:numId w:val="4"/>
              </w:numPr>
              <w:contextualSpacing/>
              <w:rPr>
                <w:rFonts w:cs="Arial"/>
                <w:bCs w:val="0"/>
                <w:sz w:val="20"/>
                <w:szCs w:val="20"/>
                <w:lang w:val="en-US"/>
              </w:rPr>
            </w:pPr>
            <w:r w:rsidRPr="00711597">
              <w:rPr>
                <w:rFonts w:cs="Arial"/>
                <w:b w:val="0"/>
                <w:bCs w:val="0"/>
                <w:sz w:val="20"/>
                <w:szCs w:val="20"/>
                <w:lang w:val="en-US"/>
              </w:rPr>
              <w:t>Substantial post-qualifying experience within a relevant professional field.</w:t>
            </w:r>
          </w:p>
          <w:p w14:paraId="55BA8538" w14:textId="77777777" w:rsidR="00AA67E3" w:rsidRPr="00711597" w:rsidRDefault="00AA67E3" w:rsidP="00AA67E3">
            <w:pPr>
              <w:numPr>
                <w:ilvl w:val="0"/>
                <w:numId w:val="4"/>
              </w:numPr>
              <w:contextualSpacing/>
              <w:rPr>
                <w:rFonts w:cs="Arial"/>
                <w:bCs w:val="0"/>
                <w:sz w:val="20"/>
                <w:szCs w:val="20"/>
                <w:lang w:val="en-US"/>
              </w:rPr>
            </w:pPr>
            <w:r w:rsidRPr="00711597">
              <w:rPr>
                <w:rFonts w:cs="Arial"/>
                <w:b w:val="0"/>
                <w:bCs w:val="0"/>
                <w:sz w:val="20"/>
                <w:szCs w:val="20"/>
                <w:lang w:val="en-US"/>
              </w:rPr>
              <w:t xml:space="preserve">Substantial case management experience of cases with complex, professional and ethical </w:t>
            </w:r>
            <w:proofErr w:type="gramStart"/>
            <w:r w:rsidRPr="00711597">
              <w:rPr>
                <w:rFonts w:cs="Arial"/>
                <w:b w:val="0"/>
                <w:bCs w:val="0"/>
                <w:sz w:val="20"/>
                <w:szCs w:val="20"/>
                <w:lang w:val="en-US"/>
              </w:rPr>
              <w:t>issues;</w:t>
            </w:r>
            <w:proofErr w:type="gramEnd"/>
            <w:r w:rsidRPr="00711597">
              <w:rPr>
                <w:rFonts w:cs="Arial"/>
                <w:b w:val="0"/>
                <w:bCs w:val="0"/>
                <w:sz w:val="20"/>
                <w:szCs w:val="20"/>
                <w:lang w:val="en-US"/>
              </w:rPr>
              <w:t xml:space="preserve"> which may include including adult and/or child protection, court proceedings, case conferences and other formal processes.</w:t>
            </w:r>
          </w:p>
          <w:p w14:paraId="66513E23" w14:textId="77777777" w:rsidR="00AA67E3" w:rsidRPr="006772AA" w:rsidRDefault="00AA67E3" w:rsidP="00AA67E3">
            <w:pPr>
              <w:pStyle w:val="ListParagraph"/>
              <w:numPr>
                <w:ilvl w:val="0"/>
                <w:numId w:val="5"/>
              </w:numPr>
              <w:spacing w:after="0" w:line="240" w:lineRule="auto"/>
              <w:rPr>
                <w:rFonts w:ascii="Arial" w:hAnsi="Arial" w:cs="Arial"/>
                <w:sz w:val="24"/>
                <w:szCs w:val="24"/>
              </w:rPr>
            </w:pPr>
            <w:r w:rsidRPr="00711597">
              <w:rPr>
                <w:rFonts w:ascii="Arial" w:hAnsi="Arial" w:cs="Arial"/>
                <w:b w:val="0"/>
                <w:bCs w:val="0"/>
                <w:sz w:val="20"/>
                <w:szCs w:val="20"/>
                <w:lang w:val="en-US"/>
              </w:rPr>
              <w:t xml:space="preserve">Substantial experience of multi-disciplinary </w:t>
            </w:r>
            <w:proofErr w:type="gramStart"/>
            <w:r w:rsidRPr="00711597">
              <w:rPr>
                <w:rFonts w:ascii="Arial" w:hAnsi="Arial" w:cs="Arial"/>
                <w:b w:val="0"/>
                <w:bCs w:val="0"/>
                <w:sz w:val="20"/>
                <w:szCs w:val="20"/>
                <w:lang w:val="en-US"/>
              </w:rPr>
              <w:t>working;</w:t>
            </w:r>
            <w:proofErr w:type="gramEnd"/>
            <w:r w:rsidRPr="00711597">
              <w:rPr>
                <w:rFonts w:ascii="Arial" w:hAnsi="Arial" w:cs="Arial"/>
                <w:b w:val="0"/>
                <w:bCs w:val="0"/>
                <w:sz w:val="20"/>
                <w:szCs w:val="20"/>
                <w:lang w:val="en-US"/>
              </w:rPr>
              <w:t xml:space="preserve"> which may include with children in need, looked after children, child protection, safeguarding adults and mental health.</w:t>
            </w:r>
          </w:p>
          <w:p w14:paraId="785516A4" w14:textId="0C063CA5" w:rsidR="006772AA" w:rsidRPr="006772AA" w:rsidRDefault="006772AA" w:rsidP="006772AA">
            <w:pPr>
              <w:rPr>
                <w:rFonts w:cs="Arial"/>
                <w:sz w:val="24"/>
                <w:szCs w:val="24"/>
              </w:rPr>
            </w:pPr>
          </w:p>
        </w:tc>
        <w:tc>
          <w:tcPr>
            <w:tcW w:w="1420" w:type="pct"/>
            <w:tcBorders>
              <w:top w:val="single" w:sz="8" w:space="0" w:color="866243" w:themeColor="accent3"/>
            </w:tcBorders>
            <w:shd w:val="clear" w:color="auto" w:fill="D5BFAC" w:themeFill="accent3" w:themeFillTint="66"/>
          </w:tcPr>
          <w:p w14:paraId="3661FE29" w14:textId="77777777" w:rsidR="00AA67E3" w:rsidRPr="00E915A2" w:rsidRDefault="00AA67E3" w:rsidP="003F34C8">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15A2">
              <w:rPr>
                <w:rFonts w:ascii="Arial" w:hAnsi="Arial" w:cs="Arial"/>
                <w:sz w:val="20"/>
                <w:szCs w:val="20"/>
              </w:rPr>
              <w:t>Knowledge of the range of equipment available to support people maintaining their independence.</w:t>
            </w:r>
          </w:p>
          <w:p w14:paraId="686034B2" w14:textId="77777777" w:rsidR="00AA67E3" w:rsidRPr="00E915A2" w:rsidRDefault="00AA67E3" w:rsidP="003F34C8">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5A2">
              <w:rPr>
                <w:rFonts w:ascii="Arial" w:hAnsi="Arial" w:cs="Arial"/>
                <w:sz w:val="20"/>
                <w:szCs w:val="20"/>
              </w:rPr>
              <w:t xml:space="preserve">Awareness of current national developments for children, </w:t>
            </w:r>
            <w:proofErr w:type="gramStart"/>
            <w:r w:rsidRPr="00E915A2">
              <w:rPr>
                <w:rFonts w:ascii="Arial" w:hAnsi="Arial" w:cs="Arial"/>
                <w:sz w:val="20"/>
                <w:szCs w:val="20"/>
              </w:rPr>
              <w:t>adults</w:t>
            </w:r>
            <w:proofErr w:type="gramEnd"/>
            <w:r w:rsidRPr="00E915A2">
              <w:rPr>
                <w:rFonts w:ascii="Arial" w:hAnsi="Arial" w:cs="Arial"/>
                <w:sz w:val="20"/>
                <w:szCs w:val="20"/>
              </w:rPr>
              <w:t xml:space="preserve"> and families.</w:t>
            </w:r>
          </w:p>
          <w:p w14:paraId="4DD28DA5" w14:textId="77777777" w:rsidR="00AA67E3" w:rsidRPr="00E915A2" w:rsidRDefault="00AA67E3" w:rsidP="003F34C8">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15A2">
              <w:rPr>
                <w:rFonts w:ascii="Arial" w:hAnsi="Arial" w:cs="Arial"/>
                <w:sz w:val="20"/>
                <w:szCs w:val="20"/>
              </w:rPr>
              <w:t>Substantial experience as a senior practitioner in a relevant professional field.</w:t>
            </w:r>
          </w:p>
          <w:p w14:paraId="2190CBE2" w14:textId="77777777" w:rsidR="00AA67E3" w:rsidRPr="00E915A2" w:rsidRDefault="00AA67E3" w:rsidP="003F34C8">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5A2">
              <w:rPr>
                <w:rFonts w:ascii="Arial" w:hAnsi="Arial" w:cs="Arial"/>
                <w:sz w:val="20"/>
                <w:szCs w:val="20"/>
              </w:rPr>
              <w:t>Experience of applying asset and strength-based approaches into practice</w:t>
            </w:r>
          </w:p>
          <w:p w14:paraId="4AEA67E1" w14:textId="77777777" w:rsidR="00AA67E3" w:rsidRPr="00E915A2" w:rsidRDefault="00AA67E3" w:rsidP="003F34C8">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5A2">
              <w:rPr>
                <w:rFonts w:ascii="Arial" w:hAnsi="Arial" w:cs="Arial"/>
                <w:sz w:val="20"/>
                <w:szCs w:val="20"/>
              </w:rPr>
              <w:t>Experience of acting as a Social Supervisor under Part 3 of the MHA</w:t>
            </w:r>
          </w:p>
          <w:p w14:paraId="73527BAC" w14:textId="77777777" w:rsidR="00AA67E3" w:rsidRPr="00911A08" w:rsidRDefault="00AA67E3" w:rsidP="003F34C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F34C8" w:rsidRPr="00A06266" w14:paraId="3082025D"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650A4CF9" w14:textId="62CDBA61" w:rsidR="003F34C8" w:rsidRPr="000E3DEE" w:rsidRDefault="003F34C8" w:rsidP="003F34C8">
            <w:pPr>
              <w:rPr>
                <w:rFonts w:cs="Arial"/>
                <w:sz w:val="24"/>
                <w:szCs w:val="24"/>
              </w:rPr>
            </w:pPr>
            <w:r w:rsidRPr="000E3DEE">
              <w:rPr>
                <w:rFonts w:cs="Arial"/>
                <w:sz w:val="24"/>
                <w:szCs w:val="24"/>
              </w:rPr>
              <w:t>Occupational Skills</w:t>
            </w:r>
          </w:p>
          <w:p w14:paraId="5737D462" w14:textId="77777777" w:rsidR="003F34C8" w:rsidRPr="00E915A2" w:rsidRDefault="003F34C8" w:rsidP="00E915A2">
            <w:pPr>
              <w:pStyle w:val="ListParagraph"/>
              <w:numPr>
                <w:ilvl w:val="1"/>
                <w:numId w:val="24"/>
              </w:numPr>
              <w:spacing w:after="0" w:line="240" w:lineRule="auto"/>
              <w:ind w:left="306" w:hanging="284"/>
              <w:jc w:val="both"/>
              <w:rPr>
                <w:rFonts w:ascii="Arial" w:hAnsi="Arial" w:cs="Arial"/>
                <w:b w:val="0"/>
                <w:bCs w:val="0"/>
                <w:sz w:val="20"/>
                <w:szCs w:val="20"/>
              </w:rPr>
            </w:pPr>
            <w:r w:rsidRPr="00E915A2">
              <w:rPr>
                <w:rFonts w:ascii="Arial" w:hAnsi="Arial" w:cs="Arial"/>
                <w:b w:val="0"/>
                <w:bCs w:val="0"/>
                <w:sz w:val="20"/>
                <w:szCs w:val="20"/>
              </w:rPr>
              <w:lastRenderedPageBreak/>
              <w:t xml:space="preserve">Ability to deliver all aspects of children and adults work, including mental health, adult </w:t>
            </w:r>
            <w:proofErr w:type="gramStart"/>
            <w:r w:rsidRPr="00E915A2">
              <w:rPr>
                <w:rFonts w:ascii="Arial" w:hAnsi="Arial" w:cs="Arial"/>
                <w:b w:val="0"/>
                <w:bCs w:val="0"/>
                <w:sz w:val="20"/>
                <w:szCs w:val="20"/>
              </w:rPr>
              <w:t>safeguarding</w:t>
            </w:r>
            <w:proofErr w:type="gramEnd"/>
            <w:r w:rsidRPr="00E915A2">
              <w:rPr>
                <w:rFonts w:ascii="Arial" w:hAnsi="Arial" w:cs="Arial"/>
                <w:b w:val="0"/>
                <w:bCs w:val="0"/>
                <w:sz w:val="20"/>
                <w:szCs w:val="20"/>
              </w:rPr>
              <w:t xml:space="preserve"> and child protection.</w:t>
            </w:r>
          </w:p>
          <w:p w14:paraId="13DB8AF9"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Excellent communication and presentation skills.</w:t>
            </w:r>
          </w:p>
          <w:p w14:paraId="686F1DFD"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The ability to converse at ease with customers and provide advice in accurate spoken English is essential for the post.</w:t>
            </w:r>
          </w:p>
          <w:p w14:paraId="09DE6135"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Ability to use persuasion, influencing and/or negotiation techniques.</w:t>
            </w:r>
          </w:p>
          <w:p w14:paraId="3343F01E" w14:textId="77777777" w:rsidR="003F34C8" w:rsidRPr="000E3DEE" w:rsidRDefault="003F34C8" w:rsidP="003F34C8">
            <w:pPr>
              <w:numPr>
                <w:ilvl w:val="0"/>
                <w:numId w:val="6"/>
              </w:numPr>
              <w:ind w:left="284" w:hanging="284"/>
              <w:rPr>
                <w:rFonts w:cs="Arial"/>
                <w:b w:val="0"/>
                <w:bCs w:val="0"/>
                <w:sz w:val="20"/>
                <w:szCs w:val="20"/>
                <w:u w:val="single"/>
              </w:rPr>
            </w:pPr>
            <w:r w:rsidRPr="000E3DEE">
              <w:rPr>
                <w:rFonts w:cs="Arial"/>
                <w:b w:val="0"/>
                <w:bCs w:val="0"/>
                <w:sz w:val="20"/>
                <w:szCs w:val="20"/>
              </w:rPr>
              <w:t>Resilience skills.  Works productively in a pressurised environment and supports others to do so.  Ability to act calmly during difficult circumstances and recovers quickly from setbacks.</w:t>
            </w:r>
          </w:p>
          <w:p w14:paraId="505F7BC6"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 xml:space="preserve">Effective time management and planning skills, meets deadlines </w:t>
            </w:r>
          </w:p>
          <w:p w14:paraId="7A1C42B4"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Effective written communication skills – communicates effectively in writing to produce documents in a range of formats and styles to suit a range of audiences.  Excellent case recording and report writing skills.</w:t>
            </w:r>
          </w:p>
          <w:p w14:paraId="2937E32F"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 xml:space="preserve">Decision making skills – can make decisions within own area of responsibility which may involve considering risks. </w:t>
            </w:r>
          </w:p>
          <w:p w14:paraId="60135C36"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Ability to monitor quality and service standards.</w:t>
            </w:r>
          </w:p>
          <w:p w14:paraId="61C57129"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Good IT skills including use of email, intranet, internet, word, excel and inputting data.</w:t>
            </w:r>
          </w:p>
          <w:p w14:paraId="6E932129" w14:textId="77777777" w:rsidR="003F34C8" w:rsidRPr="000E3DEE" w:rsidRDefault="003F34C8" w:rsidP="003F34C8">
            <w:pPr>
              <w:numPr>
                <w:ilvl w:val="0"/>
                <w:numId w:val="6"/>
              </w:numPr>
              <w:ind w:left="284" w:hanging="284"/>
              <w:rPr>
                <w:rFonts w:cs="Arial"/>
                <w:b w:val="0"/>
                <w:bCs w:val="0"/>
                <w:color w:val="FF0000"/>
                <w:sz w:val="20"/>
                <w:szCs w:val="20"/>
              </w:rPr>
            </w:pPr>
            <w:r w:rsidRPr="000E3DEE">
              <w:rPr>
                <w:rFonts w:cs="Arial"/>
                <w:b w:val="0"/>
                <w:bCs w:val="0"/>
                <w:sz w:val="20"/>
                <w:szCs w:val="20"/>
              </w:rPr>
              <w:t>Flexibility and adaptability.</w:t>
            </w:r>
            <w:r w:rsidRPr="000E3DEE">
              <w:rPr>
                <w:rFonts w:cs="Arial"/>
                <w:b w:val="0"/>
                <w:bCs w:val="0"/>
                <w:color w:val="FF0000"/>
                <w:sz w:val="20"/>
                <w:szCs w:val="20"/>
              </w:rPr>
              <w:t xml:space="preserve">  </w:t>
            </w:r>
          </w:p>
          <w:p w14:paraId="57977275" w14:textId="77777777" w:rsidR="00E915A2" w:rsidRPr="00E915A2" w:rsidRDefault="003F34C8" w:rsidP="00E915A2">
            <w:pPr>
              <w:numPr>
                <w:ilvl w:val="0"/>
                <w:numId w:val="6"/>
              </w:numPr>
              <w:ind w:left="284" w:hanging="284"/>
              <w:rPr>
                <w:rFonts w:cs="Arial"/>
                <w:i/>
                <w:sz w:val="24"/>
                <w:szCs w:val="24"/>
              </w:rPr>
            </w:pPr>
            <w:r w:rsidRPr="000E3DEE">
              <w:rPr>
                <w:rFonts w:cs="Arial"/>
                <w:b w:val="0"/>
                <w:bCs w:val="0"/>
                <w:sz w:val="20"/>
                <w:szCs w:val="20"/>
              </w:rPr>
              <w:t xml:space="preserve">Problem solving skills – uses creativity and innovation to generate solutions to problems. </w:t>
            </w:r>
          </w:p>
          <w:p w14:paraId="2753072B" w14:textId="212D07F8" w:rsidR="003F34C8" w:rsidRPr="00911A08" w:rsidRDefault="003F34C8" w:rsidP="00E915A2">
            <w:pPr>
              <w:numPr>
                <w:ilvl w:val="0"/>
                <w:numId w:val="6"/>
              </w:numPr>
              <w:ind w:left="284" w:hanging="284"/>
              <w:rPr>
                <w:rFonts w:cs="Arial"/>
                <w:i/>
                <w:sz w:val="24"/>
                <w:szCs w:val="24"/>
              </w:rPr>
            </w:pPr>
            <w:r w:rsidRPr="000E3DEE">
              <w:rPr>
                <w:rFonts w:cs="Arial"/>
                <w:b w:val="0"/>
                <w:bCs w:val="0"/>
                <w:sz w:val="20"/>
                <w:szCs w:val="20"/>
              </w:rPr>
              <w:t>Ability to work on own initiative in an autonomous role as well as being part of a team.</w:t>
            </w:r>
          </w:p>
        </w:tc>
        <w:tc>
          <w:tcPr>
            <w:tcW w:w="1420" w:type="pct"/>
            <w:shd w:val="clear" w:color="auto" w:fill="D5BFAC" w:themeFill="accent3" w:themeFillTint="66"/>
          </w:tcPr>
          <w:p w14:paraId="3746C1B5" w14:textId="77777777" w:rsidR="003F34C8" w:rsidRPr="00911A08" w:rsidRDefault="003F34C8" w:rsidP="003F34C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F34C8" w:rsidRPr="00A06266" w14:paraId="65DDAEB9"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06A179D0" w14:textId="77777777" w:rsidR="003F34C8" w:rsidRPr="00911A08" w:rsidRDefault="003F34C8" w:rsidP="003F34C8">
            <w:pPr>
              <w:rPr>
                <w:rFonts w:cs="Arial"/>
                <w:sz w:val="24"/>
                <w:szCs w:val="24"/>
              </w:rPr>
            </w:pPr>
            <w:r w:rsidRPr="00911A08">
              <w:rPr>
                <w:rFonts w:cs="Arial"/>
                <w:sz w:val="24"/>
                <w:szCs w:val="24"/>
              </w:rPr>
              <w:t xml:space="preserve">Behaviours </w:t>
            </w:r>
          </w:p>
          <w:p w14:paraId="7BCAD3BC" w14:textId="40E87307" w:rsidR="003F34C8" w:rsidRPr="00CD1FF3" w:rsidRDefault="006772AA" w:rsidP="003F34C8">
            <w:pPr>
              <w:pStyle w:val="ListParagraph"/>
              <w:numPr>
                <w:ilvl w:val="0"/>
                <w:numId w:val="5"/>
              </w:numPr>
              <w:spacing w:after="0" w:line="240" w:lineRule="auto"/>
              <w:rPr>
                <w:rFonts w:ascii="Arial" w:hAnsi="Arial" w:cs="Arial"/>
                <w:sz w:val="24"/>
                <w:szCs w:val="24"/>
              </w:rPr>
            </w:pPr>
            <w:hyperlink r:id="rId13" w:anchor="accordion-content-0-0" w:history="1">
              <w:r w:rsidR="003F34C8" w:rsidRPr="00CD1FF3">
                <w:rPr>
                  <w:rStyle w:val="Hyperlink"/>
                  <w:rFonts w:ascii="Arial" w:hAnsi="Arial" w:cs="Arial"/>
                </w:rPr>
                <w:t>link</w:t>
              </w:r>
            </w:hyperlink>
          </w:p>
          <w:p w14:paraId="2F29D5D3" w14:textId="705963F8" w:rsidR="003F34C8" w:rsidRPr="00911A08" w:rsidRDefault="003F34C8" w:rsidP="003F34C8">
            <w:pPr>
              <w:ind w:left="360"/>
              <w:rPr>
                <w:rFonts w:cs="Arial"/>
                <w:b w:val="0"/>
                <w:sz w:val="24"/>
                <w:szCs w:val="24"/>
              </w:rPr>
            </w:pPr>
          </w:p>
        </w:tc>
        <w:tc>
          <w:tcPr>
            <w:tcW w:w="1420" w:type="pct"/>
            <w:shd w:val="clear" w:color="auto" w:fill="D5BFAC" w:themeFill="accent3" w:themeFillTint="66"/>
          </w:tcPr>
          <w:p w14:paraId="72FCC34F" w14:textId="77777777" w:rsidR="003F34C8" w:rsidRPr="00911A08" w:rsidRDefault="003F34C8" w:rsidP="003F34C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F34C8" w:rsidRPr="00A06266" w14:paraId="23291AD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484E752" w14:textId="77777777" w:rsidR="003F34C8" w:rsidRPr="00911A08" w:rsidRDefault="003F34C8" w:rsidP="003F34C8">
            <w:pPr>
              <w:rPr>
                <w:rFonts w:cs="Arial"/>
                <w:sz w:val="24"/>
                <w:szCs w:val="24"/>
              </w:rPr>
            </w:pPr>
            <w:r w:rsidRPr="00911A08">
              <w:rPr>
                <w:rFonts w:cs="Arial"/>
                <w:sz w:val="24"/>
                <w:szCs w:val="24"/>
              </w:rPr>
              <w:t>Professional Qualifications</w:t>
            </w:r>
          </w:p>
          <w:p w14:paraId="62B6354F" w14:textId="77777777" w:rsidR="003F34C8" w:rsidRPr="006772AA" w:rsidRDefault="003F34C8" w:rsidP="006772AA">
            <w:pPr>
              <w:numPr>
                <w:ilvl w:val="0"/>
                <w:numId w:val="6"/>
              </w:numPr>
              <w:ind w:left="284" w:hanging="284"/>
              <w:rPr>
                <w:rFonts w:cs="Arial"/>
                <w:b w:val="0"/>
                <w:bCs w:val="0"/>
                <w:sz w:val="20"/>
                <w:szCs w:val="20"/>
              </w:rPr>
            </w:pPr>
            <w:r w:rsidRPr="006772AA">
              <w:rPr>
                <w:rFonts w:cs="Arial"/>
                <w:b w:val="0"/>
                <w:bCs w:val="0"/>
                <w:sz w:val="20"/>
                <w:szCs w:val="20"/>
              </w:rPr>
              <w:t xml:space="preserve">An Approved Mental Health Professional qualification </w:t>
            </w:r>
          </w:p>
          <w:p w14:paraId="79AAEEC8" w14:textId="032800AE" w:rsidR="003F34C8" w:rsidRPr="00483DA8" w:rsidRDefault="003F34C8" w:rsidP="006772AA">
            <w:pPr>
              <w:numPr>
                <w:ilvl w:val="0"/>
                <w:numId w:val="6"/>
              </w:numPr>
              <w:ind w:left="284" w:hanging="284"/>
              <w:rPr>
                <w:rFonts w:cs="Arial"/>
                <w:b w:val="0"/>
                <w:sz w:val="20"/>
                <w:szCs w:val="20"/>
              </w:rPr>
            </w:pPr>
            <w:r w:rsidRPr="00E915A2">
              <w:rPr>
                <w:rFonts w:cs="Arial"/>
                <w:b w:val="0"/>
                <w:bCs w:val="0"/>
                <w:sz w:val="20"/>
                <w:szCs w:val="20"/>
              </w:rPr>
              <w:t xml:space="preserve">A professional social work qualification </w:t>
            </w:r>
            <w:proofErr w:type="gramStart"/>
            <w:r w:rsidRPr="00E915A2">
              <w:rPr>
                <w:rFonts w:cs="Arial"/>
                <w:b w:val="0"/>
                <w:bCs w:val="0"/>
                <w:sz w:val="20"/>
                <w:szCs w:val="20"/>
              </w:rPr>
              <w:t>e.g.</w:t>
            </w:r>
            <w:proofErr w:type="gramEnd"/>
            <w:r w:rsidRPr="00E915A2">
              <w:rPr>
                <w:rFonts w:cs="Arial"/>
                <w:b w:val="0"/>
                <w:bCs w:val="0"/>
                <w:sz w:val="20"/>
                <w:szCs w:val="20"/>
              </w:rPr>
              <w:t xml:space="preserve"> Social Work, </w:t>
            </w:r>
            <w:proofErr w:type="spellStart"/>
            <w:r w:rsidRPr="00E915A2">
              <w:rPr>
                <w:rFonts w:cs="Arial"/>
                <w:b w:val="0"/>
                <w:bCs w:val="0"/>
                <w:sz w:val="20"/>
                <w:szCs w:val="20"/>
              </w:rPr>
              <w:t>DipSW</w:t>
            </w:r>
            <w:proofErr w:type="spellEnd"/>
            <w:r w:rsidRPr="00E915A2">
              <w:rPr>
                <w:rFonts w:cs="Arial"/>
                <w:b w:val="0"/>
                <w:bCs w:val="0"/>
                <w:sz w:val="20"/>
                <w:szCs w:val="20"/>
              </w:rPr>
              <w:t>, CQSW with current registration with Social Work England.</w:t>
            </w:r>
          </w:p>
        </w:tc>
        <w:tc>
          <w:tcPr>
            <w:tcW w:w="1420" w:type="pct"/>
            <w:shd w:val="clear" w:color="auto" w:fill="D5BFAC" w:themeFill="accent3" w:themeFillTint="66"/>
          </w:tcPr>
          <w:p w14:paraId="02D53ED6" w14:textId="77777777" w:rsidR="003F34C8" w:rsidRPr="003F34C8" w:rsidRDefault="003F34C8" w:rsidP="00E915A2">
            <w:pPr>
              <w:numPr>
                <w:ilvl w:val="1"/>
                <w:numId w:val="25"/>
              </w:numPr>
              <w:ind w:left="318" w:hanging="283"/>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3F34C8">
              <w:rPr>
                <w:rFonts w:cs="Arial"/>
                <w:color w:val="000000" w:themeColor="text1"/>
                <w:sz w:val="20"/>
                <w:szCs w:val="20"/>
              </w:rPr>
              <w:t>Practice Educator or a commitment to undertake the Practice Educator post graduate programme</w:t>
            </w:r>
          </w:p>
          <w:p w14:paraId="49D85269" w14:textId="77777777" w:rsidR="003F34C8" w:rsidRPr="003F34C8" w:rsidRDefault="003F34C8" w:rsidP="00E915A2">
            <w:pPr>
              <w:numPr>
                <w:ilvl w:val="1"/>
                <w:numId w:val="25"/>
              </w:numPr>
              <w:ind w:left="318" w:hanging="283"/>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3F34C8">
              <w:rPr>
                <w:rFonts w:cs="Arial"/>
                <w:color w:val="000000" w:themeColor="text1"/>
                <w:sz w:val="20"/>
                <w:szCs w:val="20"/>
              </w:rPr>
              <w:t>Best Interest Assessor qualified</w:t>
            </w:r>
          </w:p>
          <w:p w14:paraId="2D975F20" w14:textId="77777777" w:rsidR="003F34C8" w:rsidRPr="00911A08" w:rsidRDefault="003F34C8" w:rsidP="003F34C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F34C8" w:rsidRPr="00A06266" w14:paraId="203FFBA4"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7AF70670" w14:textId="77777777" w:rsidR="003F34C8" w:rsidRPr="00911A08" w:rsidRDefault="003F34C8" w:rsidP="003F34C8">
            <w:pPr>
              <w:rPr>
                <w:rFonts w:cs="Arial"/>
                <w:sz w:val="24"/>
                <w:szCs w:val="24"/>
              </w:rPr>
            </w:pPr>
            <w:r w:rsidRPr="00911A08">
              <w:rPr>
                <w:rFonts w:cs="Arial"/>
                <w:sz w:val="24"/>
                <w:szCs w:val="24"/>
              </w:rPr>
              <w:t>Other Requirements</w:t>
            </w:r>
          </w:p>
          <w:p w14:paraId="71BEE534" w14:textId="77777777" w:rsidR="003F34C8" w:rsidRPr="00911A08" w:rsidRDefault="003F34C8" w:rsidP="003F34C8">
            <w:pPr>
              <w:numPr>
                <w:ilvl w:val="0"/>
                <w:numId w:val="7"/>
              </w:numPr>
              <w:tabs>
                <w:tab w:val="num" w:pos="432"/>
              </w:tabs>
              <w:rPr>
                <w:rFonts w:cs="Arial"/>
                <w:b w:val="0"/>
                <w:sz w:val="24"/>
                <w:szCs w:val="24"/>
              </w:rPr>
            </w:pPr>
          </w:p>
        </w:tc>
        <w:tc>
          <w:tcPr>
            <w:tcW w:w="1420" w:type="pct"/>
            <w:shd w:val="clear" w:color="auto" w:fill="D5BFAC" w:themeFill="accent3" w:themeFillTint="66"/>
          </w:tcPr>
          <w:p w14:paraId="436BF919" w14:textId="77777777" w:rsidR="003F34C8" w:rsidRPr="00911A08" w:rsidRDefault="003F34C8" w:rsidP="003F34C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1A587F6"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67156FBC"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565DC9D9"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0C4E36F1"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3C6C5A56" w14:textId="77777777" w:rsidR="002167D6" w:rsidRPr="001246FD" w:rsidRDefault="009468D1" w:rsidP="001246FD">
            <w:pPr>
              <w:pStyle w:val="ListParagraph"/>
              <w:numPr>
                <w:ilvl w:val="0"/>
                <w:numId w:val="3"/>
              </w:numPr>
              <w:spacing w:after="0" w:line="240" w:lineRule="auto"/>
              <w:ind w:left="306" w:hanging="357"/>
              <w:rPr>
                <w:rFonts w:ascii="Arial" w:hAnsi="Arial" w:cs="Arial"/>
                <w:b w:val="0"/>
                <w:sz w:val="20"/>
                <w:szCs w:val="20"/>
              </w:rPr>
            </w:pPr>
            <w:r w:rsidRPr="001246FD">
              <w:rPr>
                <w:rFonts w:ascii="Arial" w:hAnsi="Arial" w:cs="Arial"/>
                <w:b w:val="0"/>
                <w:sz w:val="20"/>
                <w:szCs w:val="20"/>
              </w:rPr>
              <w:t>At NYC</w:t>
            </w:r>
            <w:r w:rsidR="002167D6" w:rsidRPr="001246FD">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1246FD">
              <w:rPr>
                <w:rFonts w:ascii="Arial" w:hAnsi="Arial" w:cs="Arial"/>
                <w:b w:val="0"/>
                <w:sz w:val="20"/>
                <w:szCs w:val="20"/>
              </w:rPr>
              <w:t>e.g.</w:t>
            </w:r>
            <w:proofErr w:type="gramEnd"/>
            <w:r w:rsidR="002167D6" w:rsidRPr="001246FD">
              <w:rPr>
                <w:rFonts w:ascii="Arial" w:hAnsi="Arial" w:cs="Arial"/>
                <w:b w:val="0"/>
                <w:sz w:val="20"/>
                <w:szCs w:val="20"/>
              </w:rPr>
              <w:t xml:space="preserve"> apprenticeships and work shadowing/coaching.  </w:t>
            </w:r>
          </w:p>
          <w:p w14:paraId="23D26352" w14:textId="77777777" w:rsidR="002167D6" w:rsidRPr="000E5383" w:rsidRDefault="002167D6" w:rsidP="001246FD">
            <w:pPr>
              <w:pStyle w:val="ListParagraph"/>
              <w:numPr>
                <w:ilvl w:val="0"/>
                <w:numId w:val="3"/>
              </w:numPr>
              <w:spacing w:after="0" w:line="240" w:lineRule="auto"/>
              <w:ind w:left="306" w:hanging="357"/>
              <w:rPr>
                <w:rFonts w:ascii="Arial" w:hAnsi="Arial" w:cs="Arial"/>
                <w:b w:val="0"/>
              </w:rPr>
            </w:pPr>
            <w:r w:rsidRPr="001246FD">
              <w:rPr>
                <w:rFonts w:ascii="Arial" w:hAnsi="Arial" w:cs="Arial"/>
                <w:b w:val="0"/>
                <w:sz w:val="20"/>
                <w:szCs w:val="20"/>
              </w:rPr>
              <w:t xml:space="preserve">As a large council </w:t>
            </w:r>
            <w:r w:rsidR="00E140DD" w:rsidRPr="001246FD">
              <w:rPr>
                <w:rFonts w:ascii="Arial" w:hAnsi="Arial" w:cs="Arial"/>
                <w:b w:val="0"/>
                <w:sz w:val="20"/>
                <w:szCs w:val="20"/>
              </w:rPr>
              <w:t>we</w:t>
            </w:r>
            <w:r w:rsidRPr="001246FD">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w:t>
            </w:r>
            <w:r w:rsidRPr="000E5383">
              <w:rPr>
                <w:rFonts w:ascii="Arial" w:hAnsi="Arial" w:cs="Arial"/>
                <w:b w:val="0"/>
              </w:rPr>
              <w:t xml:space="preserve">. </w:t>
            </w:r>
          </w:p>
          <w:p w14:paraId="37C143A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2F9E6F07" w14:textId="0BED85E4" w:rsidR="00FF6D2A" w:rsidRDefault="00FF6D2A"/>
    <w:p w14:paraId="32362291" w14:textId="61D8EAFE" w:rsidR="006772AA" w:rsidRDefault="006772AA"/>
    <w:p w14:paraId="59BBF5B4" w14:textId="77777777" w:rsidR="006772AA" w:rsidRDefault="006772AA"/>
    <w:tbl>
      <w:tblPr>
        <w:tblStyle w:val="LightList-Accent6"/>
        <w:tblW w:w="10480" w:type="dxa"/>
        <w:tblLayout w:type="fixed"/>
        <w:tblLook w:val="04A0" w:firstRow="1" w:lastRow="0" w:firstColumn="1" w:lastColumn="0" w:noHBand="0" w:noVBand="1"/>
      </w:tblPr>
      <w:tblGrid>
        <w:gridCol w:w="10480"/>
      </w:tblGrid>
      <w:tr w:rsidR="00D4711D" w:rsidRPr="00A06266" w14:paraId="61C7DECF"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6C163136" w14:textId="77777777" w:rsidR="00D4711D" w:rsidRPr="00A06266" w:rsidRDefault="00D4711D" w:rsidP="001F7858">
            <w:pPr>
              <w:rPr>
                <w:rFonts w:cs="Arial"/>
                <w:sz w:val="24"/>
                <w:szCs w:val="24"/>
              </w:rPr>
            </w:pPr>
            <w:r>
              <w:rPr>
                <w:rFonts w:cs="Arial"/>
                <w:sz w:val="24"/>
                <w:szCs w:val="24"/>
              </w:rPr>
              <w:lastRenderedPageBreak/>
              <w:t>Structure</w:t>
            </w:r>
          </w:p>
        </w:tc>
      </w:tr>
      <w:tr w:rsidR="00D4711D" w:rsidRPr="005415D6" w14:paraId="789A4C5F"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4BBBA448"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4837C8EA" wp14:editId="7075BAD8">
                  <wp:extent cx="6301180" cy="290456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5270E022" w14:textId="77777777" w:rsidR="00140F1E" w:rsidRDefault="00140F1E" w:rsidP="00D4711D">
      <w:pPr>
        <w:rPr>
          <w:rFonts w:cs="Arial"/>
          <w:sz w:val="20"/>
          <w:szCs w:val="20"/>
        </w:rPr>
      </w:pPr>
    </w:p>
    <w:p w14:paraId="4F534980"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A06266" w:rsidSect="0077329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24CD" w14:textId="77777777" w:rsidR="00580EA6" w:rsidRDefault="00580EA6" w:rsidP="00A84A39">
      <w:pPr>
        <w:spacing w:after="0" w:line="240" w:lineRule="auto"/>
      </w:pPr>
      <w:r>
        <w:separator/>
      </w:r>
    </w:p>
  </w:endnote>
  <w:endnote w:type="continuationSeparator" w:id="0">
    <w:p w14:paraId="01556C93" w14:textId="77777777" w:rsidR="00580EA6" w:rsidRDefault="00580EA6"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9847" w14:textId="77777777" w:rsidR="00E915A2" w:rsidRDefault="00E9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AEE" w14:textId="77777777" w:rsidR="000A71AD" w:rsidRDefault="000A71AD">
    <w:pPr>
      <w:pStyle w:val="Footer"/>
    </w:pPr>
  </w:p>
  <w:p w14:paraId="10828226"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20A0A4E6" wp14:editId="51895353">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0A4E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154"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1C028F28" wp14:editId="002C9E0F">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28F28"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3723" w14:textId="77777777" w:rsidR="00580EA6" w:rsidRDefault="00580EA6" w:rsidP="00A84A39">
      <w:pPr>
        <w:spacing w:after="0" w:line="240" w:lineRule="auto"/>
      </w:pPr>
      <w:r>
        <w:separator/>
      </w:r>
    </w:p>
  </w:footnote>
  <w:footnote w:type="continuationSeparator" w:id="0">
    <w:p w14:paraId="30330457" w14:textId="77777777" w:rsidR="00580EA6" w:rsidRDefault="00580EA6"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C70A" w14:textId="77777777" w:rsidR="00AD0E84" w:rsidRDefault="006772AA">
    <w:pPr>
      <w:pStyle w:val="Header"/>
    </w:pPr>
    <w:r>
      <w:rPr>
        <w:noProof/>
        <w:lang w:eastAsia="en-GB"/>
      </w:rPr>
      <w:pict w14:anchorId="7819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D1E"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50C9DF36" wp14:editId="251D40CC">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238D526" wp14:editId="6955EE37">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D4E"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2D6D763F" wp14:editId="47941350">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AD0"/>
    <w:multiLevelType w:val="hybridMultilevel"/>
    <w:tmpl w:val="A0986C96"/>
    <w:lvl w:ilvl="0" w:tplc="4B70668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261A2"/>
    <w:multiLevelType w:val="hybridMultilevel"/>
    <w:tmpl w:val="A8601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50E59"/>
    <w:multiLevelType w:val="hybridMultilevel"/>
    <w:tmpl w:val="2578B2F6"/>
    <w:lvl w:ilvl="0" w:tplc="25AEF3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95221"/>
    <w:multiLevelType w:val="hybridMultilevel"/>
    <w:tmpl w:val="F63C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B2543"/>
    <w:multiLevelType w:val="hybridMultilevel"/>
    <w:tmpl w:val="50183256"/>
    <w:lvl w:ilvl="0" w:tplc="95FA1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7378ED"/>
    <w:multiLevelType w:val="hybridMultilevel"/>
    <w:tmpl w:val="D902B3AE"/>
    <w:lvl w:ilvl="0" w:tplc="6C464C66">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F316D4D"/>
    <w:multiLevelType w:val="hybridMultilevel"/>
    <w:tmpl w:val="E9F027E4"/>
    <w:lvl w:ilvl="0" w:tplc="0CD0D1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010C41"/>
    <w:multiLevelType w:val="hybridMultilevel"/>
    <w:tmpl w:val="B2F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C4EB6"/>
    <w:multiLevelType w:val="hybridMultilevel"/>
    <w:tmpl w:val="9F5E4ECC"/>
    <w:lvl w:ilvl="0" w:tplc="5E38EACA">
      <w:start w:val="1"/>
      <w:numFmt w:val="bullet"/>
      <w:lvlText w:val=""/>
      <w:lvlJc w:val="left"/>
      <w:pPr>
        <w:ind w:left="360" w:hanging="360"/>
      </w:pPr>
      <w:rPr>
        <w:rFonts w:ascii="Symbol" w:hAnsi="Symbol" w:hint="default"/>
        <w:color w:val="33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6F4C7A"/>
    <w:multiLevelType w:val="hybridMultilevel"/>
    <w:tmpl w:val="A1EED87E"/>
    <w:lvl w:ilvl="0" w:tplc="E3C48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C136C"/>
    <w:multiLevelType w:val="hybridMultilevel"/>
    <w:tmpl w:val="75629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137F1"/>
    <w:multiLevelType w:val="hybridMultilevel"/>
    <w:tmpl w:val="47D41752"/>
    <w:lvl w:ilvl="0" w:tplc="EBA0F804">
      <w:start w:val="1"/>
      <w:numFmt w:val="bullet"/>
      <w:lvlText w:val=""/>
      <w:lvlJc w:val="left"/>
      <w:pPr>
        <w:ind w:left="360" w:hanging="360"/>
      </w:pPr>
      <w:rPr>
        <w:rFonts w:ascii="Symbol" w:hAnsi="Symbol" w:hint="default"/>
        <w:color w:val="33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AD2"/>
    <w:multiLevelType w:val="hybridMultilevel"/>
    <w:tmpl w:val="B4BC3FF2"/>
    <w:lvl w:ilvl="0" w:tplc="A53EA7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9D3B80"/>
    <w:multiLevelType w:val="hybridMultilevel"/>
    <w:tmpl w:val="D9A29CF4"/>
    <w:lvl w:ilvl="0" w:tplc="0CD0D1D2">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8"/>
  </w:num>
  <w:num w:numId="4">
    <w:abstractNumId w:val="9"/>
  </w:num>
  <w:num w:numId="5">
    <w:abstractNumId w:val="26"/>
  </w:num>
  <w:num w:numId="6">
    <w:abstractNumId w:val="13"/>
  </w:num>
  <w:num w:numId="7">
    <w:abstractNumId w:val="15"/>
  </w:num>
  <w:num w:numId="8">
    <w:abstractNumId w:val="2"/>
  </w:num>
  <w:num w:numId="9">
    <w:abstractNumId w:val="23"/>
  </w:num>
  <w:num w:numId="10">
    <w:abstractNumId w:val="4"/>
  </w:num>
  <w:num w:numId="11">
    <w:abstractNumId w:val="10"/>
  </w:num>
  <w:num w:numId="12">
    <w:abstractNumId w:val="1"/>
  </w:num>
  <w:num w:numId="13">
    <w:abstractNumId w:val="3"/>
  </w:num>
  <w:num w:numId="14">
    <w:abstractNumId w:val="21"/>
  </w:num>
  <w:num w:numId="15">
    <w:abstractNumId w:val="19"/>
  </w:num>
  <w:num w:numId="16">
    <w:abstractNumId w:val="0"/>
  </w:num>
  <w:num w:numId="17">
    <w:abstractNumId w:val="18"/>
  </w:num>
  <w:num w:numId="18">
    <w:abstractNumId w:val="11"/>
  </w:num>
  <w:num w:numId="19">
    <w:abstractNumId w:val="22"/>
  </w:num>
  <w:num w:numId="20">
    <w:abstractNumId w:val="24"/>
  </w:num>
  <w:num w:numId="21">
    <w:abstractNumId w:val="7"/>
  </w:num>
  <w:num w:numId="22">
    <w:abstractNumId w:val="17"/>
  </w:num>
  <w:num w:numId="23">
    <w:abstractNumId w:val="14"/>
  </w:num>
  <w:num w:numId="24">
    <w:abstractNumId w:val="12"/>
  </w:num>
  <w:num w:numId="25">
    <w:abstractNumId w:val="2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A71AD"/>
    <w:rsid w:val="000C1DAD"/>
    <w:rsid w:val="000E5383"/>
    <w:rsid w:val="00112560"/>
    <w:rsid w:val="00114282"/>
    <w:rsid w:val="001246FD"/>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3F34C8"/>
    <w:rsid w:val="00436712"/>
    <w:rsid w:val="004672AF"/>
    <w:rsid w:val="004819D1"/>
    <w:rsid w:val="00483DA8"/>
    <w:rsid w:val="004A1109"/>
    <w:rsid w:val="004D6C7D"/>
    <w:rsid w:val="00536029"/>
    <w:rsid w:val="0055096A"/>
    <w:rsid w:val="00551E84"/>
    <w:rsid w:val="00580EA6"/>
    <w:rsid w:val="005D4246"/>
    <w:rsid w:val="006126DF"/>
    <w:rsid w:val="006152E3"/>
    <w:rsid w:val="00640DBA"/>
    <w:rsid w:val="0065248F"/>
    <w:rsid w:val="00665BA6"/>
    <w:rsid w:val="006772AA"/>
    <w:rsid w:val="006C0C79"/>
    <w:rsid w:val="006D7BAF"/>
    <w:rsid w:val="0070480A"/>
    <w:rsid w:val="007150BD"/>
    <w:rsid w:val="0077329D"/>
    <w:rsid w:val="007A3A92"/>
    <w:rsid w:val="007B41A4"/>
    <w:rsid w:val="007B6F73"/>
    <w:rsid w:val="007C51C4"/>
    <w:rsid w:val="007F4D14"/>
    <w:rsid w:val="00841894"/>
    <w:rsid w:val="008C6EC0"/>
    <w:rsid w:val="008F5218"/>
    <w:rsid w:val="00910D2D"/>
    <w:rsid w:val="00911A08"/>
    <w:rsid w:val="009468D1"/>
    <w:rsid w:val="00951DE3"/>
    <w:rsid w:val="009617F5"/>
    <w:rsid w:val="00994077"/>
    <w:rsid w:val="009C7F73"/>
    <w:rsid w:val="009D3D7F"/>
    <w:rsid w:val="009F6D57"/>
    <w:rsid w:val="00A012F8"/>
    <w:rsid w:val="00A17902"/>
    <w:rsid w:val="00A60D28"/>
    <w:rsid w:val="00A64037"/>
    <w:rsid w:val="00A67257"/>
    <w:rsid w:val="00A84A39"/>
    <w:rsid w:val="00AA67E3"/>
    <w:rsid w:val="00AC3362"/>
    <w:rsid w:val="00AD0E84"/>
    <w:rsid w:val="00AE50CC"/>
    <w:rsid w:val="00AF5971"/>
    <w:rsid w:val="00B129E3"/>
    <w:rsid w:val="00B14897"/>
    <w:rsid w:val="00B4396D"/>
    <w:rsid w:val="00B55C39"/>
    <w:rsid w:val="00BD2BDA"/>
    <w:rsid w:val="00BF6394"/>
    <w:rsid w:val="00C1117D"/>
    <w:rsid w:val="00C97CE3"/>
    <w:rsid w:val="00CD1FF3"/>
    <w:rsid w:val="00CF2855"/>
    <w:rsid w:val="00D00DEF"/>
    <w:rsid w:val="00D06747"/>
    <w:rsid w:val="00D4711D"/>
    <w:rsid w:val="00D86621"/>
    <w:rsid w:val="00E140DD"/>
    <w:rsid w:val="00E330F2"/>
    <w:rsid w:val="00E715BD"/>
    <w:rsid w:val="00E915A2"/>
    <w:rsid w:val="00EA0B47"/>
    <w:rsid w:val="00ED2A2A"/>
    <w:rsid w:val="00EE6554"/>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E21E92"/>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Indent">
    <w:name w:val="Body Text Indent"/>
    <w:basedOn w:val="Normal"/>
    <w:link w:val="BodyTextIndentChar"/>
    <w:uiPriority w:val="99"/>
    <w:unhideWhenUsed/>
    <w:rsid w:val="00AA67E3"/>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rsid w:val="00AA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thyorks.gov.uk/your-council/our-role-structure-and-objectives" TargetMode="External"/><Relationship Id="rId18" Type="http://schemas.microsoft.com/office/2007/relationships/diagramDrawing" Target="diagrams/drawing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news/ukhsa-review-shows-vaccinated-less-likely-to-have-long-covid-than-unvaccinated"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t>Service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t>Locality Manager/and or EDT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567" custLinFactNeighborY="-13392">
        <dgm:presLayoutVars>
          <dgm:chPref val="3"/>
        </dgm:presLayoutVars>
      </dgm:prSet>
      <dgm:spPr/>
    </dgm:pt>
    <dgm:pt modelId="{F0845906-FC26-4D83-B719-7686E8AC273A}" type="pres">
      <dgm:prSet presAssocID="{A6B29937-80EF-4AE4-A80A-706CE39B6BE0}" presName="hierChild3"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9A365-9A07-488C-96FD-FB780D5F74EA}">
      <dsp:nvSpPr>
        <dsp:cNvPr id="0" name=""/>
        <dsp:cNvSpPr/>
      </dsp:nvSpPr>
      <dsp:spPr>
        <a:xfrm>
          <a:off x="2998230" y="1107077"/>
          <a:ext cx="91440" cy="358441"/>
        </a:xfrm>
        <a:custGeom>
          <a:avLst/>
          <a:gdLst/>
          <a:ahLst/>
          <a:cxnLst/>
          <a:rect l="0" t="0" r="0" b="0"/>
          <a:pathLst>
            <a:path>
              <a:moveTo>
                <a:pt x="55595" y="0"/>
              </a:moveTo>
              <a:lnTo>
                <a:pt x="55595" y="197087"/>
              </a:lnTo>
              <a:lnTo>
                <a:pt x="45720" y="197087"/>
              </a:lnTo>
              <a:lnTo>
                <a:pt x="45720" y="358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182952" y="1068"/>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376480" y="184919"/>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Service Manager</a:t>
          </a:r>
        </a:p>
      </dsp:txBody>
      <dsp:txXfrm>
        <a:off x="2408874" y="217313"/>
        <a:ext cx="1676959" cy="1041221"/>
      </dsp:txXfrm>
    </dsp:sp>
    <dsp:sp modelId="{E3E2160A-C70D-438E-BE4B-63644B985DC0}">
      <dsp:nvSpPr>
        <dsp:cNvPr id="0" name=""/>
        <dsp:cNvSpPr/>
      </dsp:nvSpPr>
      <dsp:spPr>
        <a:xfrm>
          <a:off x="2173077" y="1465519"/>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366604" y="1649370"/>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Locality Manager/and or EDT Manager</a:t>
          </a:r>
        </a:p>
      </dsp:txBody>
      <dsp:txXfrm>
        <a:off x="2398998" y="1681764"/>
        <a:ext cx="1676959" cy="1041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172423"/>
    <w:rsid w:val="001F09E8"/>
    <w:rsid w:val="00457B42"/>
    <w:rsid w:val="005807CC"/>
    <w:rsid w:val="00605A8D"/>
    <w:rsid w:val="006E3116"/>
    <w:rsid w:val="00C2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eed2Change" ma:contentTypeID="0x010100B550F4FBC0B31F4085A5E736061EE89F24008D461DCE546B6545B3587A7D754F7743" ma:contentTypeVersion="29" ma:contentTypeDescription="Default content type for libraries - files uploaded using this content type need to be updated with correct content type afterwards." ma:contentTypeScope="" ma:versionID="25b6c6af8e671b61aa8581da9a99258d">
  <xsd:schema xmlns:xsd="http://www.w3.org/2001/XMLSchema" xmlns:xs="http://www.w3.org/2001/XMLSchema" xmlns:p="http://schemas.microsoft.com/office/2006/metadata/properties" xmlns:ns2="681cde3e-6782-4dd3-916d-f69c55d19621" xmlns:ns3="82785fec-37d4-4d06-b583-82eb219e277c" targetNamespace="http://schemas.microsoft.com/office/2006/metadata/properties" ma:root="true" ma:fieldsID="69af992a63cfecb41c60749ce0b3d64b" ns2:_="" ns3:_="">
    <xsd:import namespace="681cde3e-6782-4dd3-916d-f69c55d19621"/>
    <xsd:import namespace="82785fec-37d4-4d06-b583-82eb219e27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cde3e-6782-4dd3-916d-f69c55d196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85fec-37d4-4d06-b583-82eb219e277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681cde3e-6782-4dd3-916d-f69c55d196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F0E759A-893C-405B-985E-17B282F8ED49}">
  <ds:schemaRefs>
    <ds:schemaRef ds:uri="http://schemas.openxmlformats.org/officeDocument/2006/bibliography"/>
  </ds:schemaRefs>
</ds:datastoreItem>
</file>

<file path=customXml/itemProps2.xml><?xml version="1.0" encoding="utf-8"?>
<ds:datastoreItem xmlns:ds="http://schemas.openxmlformats.org/officeDocument/2006/customXml" ds:itemID="{F93F5CC7-8C3F-4B4C-98E8-DC7EA3D45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cde3e-6782-4dd3-916d-f69c55d19621"/>
    <ds:schemaRef ds:uri="82785fec-37d4-4d06-b583-82eb219e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681cde3e-6782-4dd3-916d-f69c55d19621"/>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5.xml><?xml version="1.0" encoding="utf-8"?>
<ds:datastoreItem xmlns:ds="http://schemas.openxmlformats.org/officeDocument/2006/customXml" ds:itemID="{F309D81F-23D4-4A77-A5AE-038061DB34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7</TotalTime>
  <Pages>6</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Joan Ward3</cp:lastModifiedBy>
  <cp:revision>2</cp:revision>
  <dcterms:created xsi:type="dcterms:W3CDTF">2023-10-01T20:07:00Z</dcterms:created>
  <dcterms:modified xsi:type="dcterms:W3CDTF">2023-10-01T20:07:00Z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0x010100B550F4FBC0B31F4085A5E736061EE89F24008D461DCE546B6545B3587A7D754F7743</vt:lpwstr>
  </property>
  <property fmtid="{D5CDD505-2E9C-101B-9397-08002B2CF9AE}" pid="3" name="MSIP_Label_3ecdfc32-7be5-4b17-9f97-00453388bdd7_Enabled">
    <vt:lpwstr>true</vt:lpwstr>
  </property>
  <property fmtid="{D5CDD505-2E9C-101B-9397-08002B2CF9AE}" pid="4" name="MSIP_Label_3ecdfc32-7be5-4b17-9f97-00453388bdd7_SetDate">
    <vt:lpwstr>2023-08-22T14:22:59Z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42ca1e2e-3db4-453e-b348-49339fd68931</vt:lpwstr>
  </property>
  <property fmtid="{D5CDD505-2E9C-101B-9397-08002B2CF9AE}" pid="9" name="MSIP_Label_3ecdfc32-7be5-4b17-9f97-00453388bdd7_ContentBits">
    <vt:lpwstr>2</vt:lpwstr>
  </property>
</Properties>
</file>